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19E" w:rsidRPr="00375DC0" w:rsidRDefault="0055519E" w:rsidP="0055519E">
      <w:pPr>
        <w:ind w:firstLine="0"/>
        <w:jc w:val="left"/>
        <w:rPr>
          <w:rFonts w:ascii="Verdana" w:hAnsi="Verdana"/>
          <w:b/>
          <w:sz w:val="32"/>
          <w:szCs w:val="32"/>
        </w:rPr>
      </w:pPr>
      <w:r w:rsidRPr="00375DC0">
        <w:rPr>
          <w:rFonts w:ascii="Verdana" w:hAnsi="Verdana"/>
          <w:b/>
          <w:sz w:val="32"/>
          <w:szCs w:val="32"/>
        </w:rPr>
        <w:t xml:space="preserve">Solutions </w:t>
      </w:r>
      <w:r w:rsidR="002E2D17">
        <w:rPr>
          <w:rFonts w:ascii="Verdana" w:hAnsi="Verdana"/>
          <w:b/>
          <w:sz w:val="32"/>
          <w:szCs w:val="32"/>
        </w:rPr>
        <w:t>m</w:t>
      </w:r>
      <w:r w:rsidRPr="00375DC0">
        <w:rPr>
          <w:rFonts w:ascii="Verdana" w:hAnsi="Verdana"/>
          <w:b/>
          <w:sz w:val="32"/>
          <w:szCs w:val="32"/>
        </w:rPr>
        <w:t>anual</w:t>
      </w:r>
    </w:p>
    <w:p w:rsidR="00375DC0" w:rsidRDefault="00375DC0" w:rsidP="0055519E">
      <w:pPr>
        <w:ind w:firstLine="0"/>
        <w:jc w:val="left"/>
        <w:rPr>
          <w:rFonts w:ascii="Verdana" w:hAnsi="Verdana"/>
          <w:b/>
          <w:sz w:val="20"/>
        </w:rPr>
      </w:pPr>
    </w:p>
    <w:p w:rsidR="00375DC0" w:rsidRDefault="00712CFE" w:rsidP="0055519E">
      <w:pPr>
        <w:ind w:firstLine="0"/>
        <w:jc w:val="left"/>
        <w:rPr>
          <w:rFonts w:ascii="Verdana" w:hAnsi="Verdana"/>
          <w:b/>
          <w:sz w:val="24"/>
          <w:szCs w:val="24"/>
        </w:rPr>
      </w:pPr>
      <w:r>
        <w:rPr>
          <w:rFonts w:ascii="Verdana" w:hAnsi="Verdana"/>
          <w:b/>
          <w:sz w:val="24"/>
          <w:szCs w:val="24"/>
        </w:rPr>
        <w:t>C</w:t>
      </w:r>
      <w:r w:rsidRPr="00375DC0">
        <w:rPr>
          <w:rFonts w:ascii="Verdana" w:hAnsi="Verdana"/>
          <w:b/>
          <w:sz w:val="24"/>
          <w:szCs w:val="24"/>
        </w:rPr>
        <w:t xml:space="preserve">hapter 1 </w:t>
      </w:r>
    </w:p>
    <w:p w:rsidR="002E290D" w:rsidRDefault="00712CFE" w:rsidP="0055519E">
      <w:pPr>
        <w:ind w:firstLine="0"/>
        <w:jc w:val="left"/>
        <w:rPr>
          <w:rFonts w:ascii="Verdana" w:hAnsi="Verdana"/>
          <w:b/>
          <w:sz w:val="24"/>
          <w:szCs w:val="24"/>
        </w:rPr>
      </w:pPr>
      <w:r>
        <w:rPr>
          <w:rFonts w:ascii="Verdana" w:hAnsi="Verdana"/>
          <w:b/>
          <w:sz w:val="24"/>
          <w:szCs w:val="24"/>
        </w:rPr>
        <w:t>T</w:t>
      </w:r>
      <w:r w:rsidRPr="00375DC0">
        <w:rPr>
          <w:rFonts w:ascii="Verdana" w:hAnsi="Verdana"/>
          <w:b/>
          <w:sz w:val="24"/>
          <w:szCs w:val="24"/>
        </w:rPr>
        <w:t>ext objectives and introduction to consolidation</w:t>
      </w:r>
    </w:p>
    <w:p w:rsidR="00124642" w:rsidRPr="00124642" w:rsidRDefault="00124642" w:rsidP="0055519E">
      <w:pPr>
        <w:ind w:firstLine="0"/>
        <w:jc w:val="left"/>
        <w:rPr>
          <w:rFonts w:ascii="Verdana" w:hAnsi="Verdana"/>
          <w:b/>
          <w:sz w:val="20"/>
        </w:rPr>
      </w:pPr>
      <w:bookmarkStart w:id="0" w:name="OLE_LINK1"/>
      <w:r w:rsidRPr="00124642">
        <w:rPr>
          <w:rFonts w:ascii="Verdana" w:hAnsi="Verdana"/>
          <w:b/>
          <w:sz w:val="20"/>
        </w:rPr>
        <w:t>(Pages 36-40)</w:t>
      </w:r>
    </w:p>
    <w:bookmarkEnd w:id="0"/>
    <w:p w:rsidR="00133E6E" w:rsidRPr="00375DC0" w:rsidRDefault="00133E6E">
      <w:pPr>
        <w:ind w:firstLine="0"/>
        <w:rPr>
          <w:rFonts w:ascii="Verdana" w:hAnsi="Verdana"/>
          <w:b/>
          <w:sz w:val="20"/>
        </w:rPr>
      </w:pPr>
    </w:p>
    <w:p w:rsidR="0055519E" w:rsidRPr="00375DC0" w:rsidRDefault="0055519E">
      <w:pPr>
        <w:ind w:firstLine="0"/>
        <w:rPr>
          <w:rFonts w:ascii="Verdana" w:hAnsi="Verdana"/>
          <w:b/>
          <w:sz w:val="20"/>
        </w:rPr>
      </w:pPr>
    </w:p>
    <w:p w:rsidR="00C160B5" w:rsidRPr="00F97A0E" w:rsidRDefault="00124642" w:rsidP="00C160B5">
      <w:pPr>
        <w:widowControl/>
        <w:autoSpaceDE w:val="0"/>
        <w:autoSpaceDN w:val="0"/>
        <w:adjustRightInd w:val="0"/>
        <w:ind w:firstLine="0"/>
        <w:jc w:val="left"/>
        <w:rPr>
          <w:rFonts w:ascii="Verdana" w:hAnsi="Verdana"/>
          <w:b/>
          <w:bCs/>
          <w:i/>
          <w:iCs/>
          <w:snapToGrid/>
          <w:sz w:val="20"/>
          <w:lang w:eastAsia="en-AU"/>
        </w:rPr>
      </w:pPr>
      <w:r w:rsidRPr="00F97A0E">
        <w:rPr>
          <w:rFonts w:ascii="Verdana" w:hAnsi="Verdana"/>
          <w:b/>
          <w:bCs/>
          <w:i/>
          <w:snapToGrid/>
          <w:sz w:val="20"/>
          <w:lang w:eastAsia="en-AU"/>
        </w:rPr>
        <w:t>Q</w:t>
      </w:r>
      <w:r w:rsidR="00C160B5" w:rsidRPr="00F97A0E">
        <w:rPr>
          <w:rFonts w:ascii="Verdana" w:hAnsi="Verdana"/>
          <w:b/>
          <w:bCs/>
          <w:i/>
          <w:snapToGrid/>
          <w:sz w:val="20"/>
          <w:lang w:eastAsia="en-AU"/>
        </w:rPr>
        <w:t xml:space="preserve">1.1 Important terminology in AASB </w:t>
      </w:r>
      <w:r w:rsidR="007D13B8" w:rsidRPr="00F97A0E">
        <w:rPr>
          <w:rFonts w:ascii="Verdana" w:hAnsi="Verdana"/>
          <w:b/>
          <w:bCs/>
          <w:i/>
          <w:snapToGrid/>
          <w:sz w:val="20"/>
          <w:lang w:eastAsia="en-AU"/>
        </w:rPr>
        <w:t>10</w:t>
      </w:r>
      <w:r w:rsidR="00C160B5" w:rsidRPr="00F97A0E">
        <w:rPr>
          <w:rFonts w:ascii="Verdana" w:hAnsi="Verdana"/>
          <w:b/>
          <w:bCs/>
          <w:i/>
          <w:snapToGrid/>
          <w:sz w:val="20"/>
          <w:lang w:eastAsia="en-AU"/>
        </w:rPr>
        <w:t xml:space="preserve"> </w:t>
      </w:r>
      <w:r w:rsidRPr="00F97A0E">
        <w:rPr>
          <w:rFonts w:ascii="Verdana" w:hAnsi="Verdana"/>
          <w:b/>
          <w:bCs/>
          <w:i/>
          <w:iCs/>
          <w:snapToGrid/>
          <w:sz w:val="20"/>
          <w:lang w:eastAsia="en-AU"/>
        </w:rPr>
        <w:t>(Section 1.2</w:t>
      </w:r>
      <w:r w:rsidR="00C160B5" w:rsidRPr="00F97A0E">
        <w:rPr>
          <w:rFonts w:ascii="Verdana" w:hAnsi="Verdana"/>
          <w:b/>
          <w:bCs/>
          <w:i/>
          <w:iCs/>
          <w:snapToGrid/>
          <w:sz w:val="20"/>
          <w:lang w:eastAsia="en-AU"/>
        </w:rPr>
        <w:t>)</w:t>
      </w:r>
    </w:p>
    <w:p w:rsidR="00C160B5" w:rsidRPr="00375DC0" w:rsidRDefault="00C160B5" w:rsidP="00C160B5">
      <w:pPr>
        <w:widowControl/>
        <w:autoSpaceDE w:val="0"/>
        <w:autoSpaceDN w:val="0"/>
        <w:adjustRightInd w:val="0"/>
        <w:ind w:firstLine="0"/>
        <w:jc w:val="left"/>
        <w:rPr>
          <w:rFonts w:ascii="Verdana" w:hAnsi="Verdana"/>
          <w:b/>
          <w:snapToGrid/>
          <w:sz w:val="20"/>
          <w:lang w:eastAsia="en-AU"/>
        </w:rPr>
      </w:pPr>
    </w:p>
    <w:p w:rsidR="00C160B5" w:rsidRPr="00375DC0" w:rsidRDefault="00C160B5" w:rsidP="0057182A">
      <w:pPr>
        <w:ind w:firstLine="0"/>
        <w:jc w:val="left"/>
        <w:rPr>
          <w:rFonts w:ascii="Verdana" w:hAnsi="Verdana"/>
          <w:sz w:val="20"/>
        </w:rPr>
      </w:pPr>
      <w:r w:rsidRPr="00375DC0">
        <w:rPr>
          <w:rFonts w:ascii="Verdana" w:hAnsi="Verdana"/>
          <w:sz w:val="20"/>
        </w:rPr>
        <w:t>The terms will be defined with reference to the foll</w:t>
      </w:r>
      <w:r w:rsidR="0057182A">
        <w:rPr>
          <w:rFonts w:ascii="Verdana" w:hAnsi="Verdana"/>
          <w:sz w:val="20"/>
        </w:rPr>
        <w:t>owing organisational structure.</w:t>
      </w:r>
    </w:p>
    <w:p w:rsidR="00C160B5" w:rsidRPr="00375DC0" w:rsidRDefault="00C160B5" w:rsidP="00C160B5">
      <w:pPr>
        <w:ind w:firstLine="0"/>
        <w:rPr>
          <w:rFonts w:ascii="Verdana" w:hAnsi="Verdana"/>
          <w:sz w:val="20"/>
        </w:rPr>
      </w:pPr>
    </w:p>
    <w:p w:rsidR="00C160B5" w:rsidRPr="00375DC0" w:rsidRDefault="00C160B5" w:rsidP="00C160B5">
      <w:pPr>
        <w:ind w:firstLine="0"/>
        <w:rPr>
          <w:rFonts w:ascii="Verdana" w:hAnsi="Verdana"/>
          <w:sz w:val="20"/>
        </w:rPr>
      </w:pPr>
    </w:p>
    <w:p w:rsidR="00C160B5" w:rsidRPr="00375DC0" w:rsidRDefault="00C160B5" w:rsidP="00C160B5">
      <w:pPr>
        <w:ind w:firstLine="0"/>
        <w:rPr>
          <w:rFonts w:ascii="Verdana" w:hAnsi="Verdana"/>
          <w:sz w:val="20"/>
        </w:rPr>
      </w:pPr>
    </w:p>
    <w:p w:rsidR="00C160B5" w:rsidRPr="00375DC0" w:rsidRDefault="00C160B5" w:rsidP="00C160B5">
      <w:pPr>
        <w:ind w:firstLine="0"/>
        <w:rPr>
          <w:rFonts w:ascii="Verdana" w:hAnsi="Verdana"/>
          <w:sz w:val="20"/>
        </w:rPr>
      </w:pPr>
      <w:r w:rsidRPr="00375DC0">
        <w:rPr>
          <w:rFonts w:ascii="Verdana" w:hAnsi="Verdana"/>
          <w:b/>
          <w:sz w:val="20"/>
        </w:rPr>
        <w:object w:dxaOrig="7160" w:dyaOrig="6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5pt;height:336.55pt" o:ole="" fillcolor="window">
            <v:imagedata r:id="rId8" o:title=""/>
          </v:shape>
          <o:OLEObject Type="Embed" ProgID="Word.Picture.8" ShapeID="_x0000_i1025" DrawAspect="Content" ObjectID="_1540881383" r:id="rId9"/>
        </w:object>
      </w:r>
    </w:p>
    <w:p w:rsidR="00C160B5" w:rsidRPr="00375DC0" w:rsidRDefault="00C160B5" w:rsidP="00C160B5">
      <w:pPr>
        <w:ind w:firstLine="0"/>
        <w:rPr>
          <w:rFonts w:ascii="Verdana" w:hAnsi="Verdana"/>
          <w:i/>
          <w:sz w:val="20"/>
        </w:rPr>
      </w:pPr>
    </w:p>
    <w:p w:rsidR="00C160B5" w:rsidRPr="00375DC0" w:rsidRDefault="00C160B5" w:rsidP="0057182A">
      <w:pPr>
        <w:ind w:firstLine="0"/>
        <w:jc w:val="left"/>
        <w:rPr>
          <w:rFonts w:ascii="Verdana" w:hAnsi="Verdana"/>
          <w:sz w:val="20"/>
        </w:rPr>
      </w:pPr>
      <w:r w:rsidRPr="00375DC0">
        <w:rPr>
          <w:rFonts w:ascii="Verdana" w:hAnsi="Verdana"/>
          <w:i/>
          <w:sz w:val="20"/>
        </w:rPr>
        <w:t>Parent entity</w:t>
      </w:r>
      <w:r w:rsidRPr="00375DC0">
        <w:rPr>
          <w:rFonts w:ascii="Verdana" w:hAnsi="Verdana"/>
          <w:sz w:val="20"/>
        </w:rPr>
        <w:t xml:space="preserve">: A parent is </w:t>
      </w:r>
      <w:r w:rsidRPr="00375DC0">
        <w:rPr>
          <w:rFonts w:ascii="Verdana" w:hAnsi="Verdana"/>
          <w:color w:val="000000"/>
          <w:sz w:val="20"/>
        </w:rPr>
        <w:t>an entity that has one or more subsidiaries (AASB 1</w:t>
      </w:r>
      <w:r w:rsidR="007D13B8" w:rsidRPr="00375DC0">
        <w:rPr>
          <w:rFonts w:ascii="Verdana" w:hAnsi="Verdana"/>
          <w:color w:val="000000"/>
          <w:sz w:val="20"/>
        </w:rPr>
        <w:t>0</w:t>
      </w:r>
      <w:r w:rsidRPr="00375DC0">
        <w:rPr>
          <w:rFonts w:ascii="Verdana" w:hAnsi="Verdana"/>
          <w:color w:val="000000"/>
          <w:sz w:val="20"/>
        </w:rPr>
        <w:t>.</w:t>
      </w:r>
      <w:r w:rsidR="007D13B8" w:rsidRPr="00375DC0">
        <w:rPr>
          <w:rFonts w:ascii="Verdana" w:hAnsi="Verdana"/>
          <w:color w:val="000000"/>
          <w:sz w:val="20"/>
        </w:rPr>
        <w:t>Appendix A</w:t>
      </w:r>
      <w:r w:rsidRPr="00375DC0">
        <w:rPr>
          <w:rFonts w:ascii="Verdana" w:hAnsi="Verdana"/>
          <w:color w:val="000000"/>
          <w:sz w:val="20"/>
        </w:rPr>
        <w:t>). In the above illustration</w:t>
      </w:r>
      <w:r w:rsidR="009C731E">
        <w:rPr>
          <w:rFonts w:ascii="Verdana" w:hAnsi="Verdana"/>
          <w:color w:val="000000"/>
          <w:sz w:val="20"/>
        </w:rPr>
        <w:t>,</w:t>
      </w:r>
      <w:r w:rsidRPr="00375DC0">
        <w:rPr>
          <w:rFonts w:ascii="Verdana" w:hAnsi="Verdana"/>
          <w:color w:val="000000"/>
          <w:sz w:val="20"/>
        </w:rPr>
        <w:t xml:space="preserve"> </w:t>
      </w:r>
      <w:r w:rsidRPr="00375DC0">
        <w:rPr>
          <w:rFonts w:ascii="Verdana" w:hAnsi="Verdana"/>
          <w:sz w:val="20"/>
        </w:rPr>
        <w:t>A Ltd is the parent entity of B Ltd and C Ltd because it has direct control over B Ltd and indirect control over C Ltd. It should be noted that B Ltd is also a parent entity to C Ltd.</w:t>
      </w:r>
    </w:p>
    <w:p w:rsidR="00C160B5" w:rsidRPr="00375DC0" w:rsidRDefault="00C160B5" w:rsidP="0057182A">
      <w:pPr>
        <w:ind w:firstLine="0"/>
        <w:jc w:val="left"/>
        <w:rPr>
          <w:rFonts w:ascii="Verdana" w:hAnsi="Verdana"/>
          <w:sz w:val="20"/>
        </w:rPr>
      </w:pPr>
    </w:p>
    <w:p w:rsidR="00C160B5" w:rsidRPr="00375DC0" w:rsidRDefault="00C160B5" w:rsidP="0057182A">
      <w:pPr>
        <w:ind w:firstLine="0"/>
        <w:jc w:val="left"/>
        <w:rPr>
          <w:rFonts w:ascii="Verdana" w:hAnsi="Verdana"/>
          <w:sz w:val="20"/>
        </w:rPr>
      </w:pPr>
      <w:r w:rsidRPr="00375DC0">
        <w:rPr>
          <w:rFonts w:ascii="Verdana" w:hAnsi="Verdana"/>
          <w:i/>
          <w:sz w:val="20"/>
        </w:rPr>
        <w:t>Ultimate parent entity</w:t>
      </w:r>
      <w:r w:rsidRPr="00375DC0">
        <w:rPr>
          <w:rFonts w:ascii="Verdana" w:hAnsi="Verdana"/>
          <w:sz w:val="20"/>
        </w:rPr>
        <w:t xml:space="preserve">: The ultimate parent entity in the above illustration is A Ltd because it has ultimate control over the A Ltd Group, B Ltd, the B Ltd Group and C Ltd. </w:t>
      </w:r>
    </w:p>
    <w:p w:rsidR="00C160B5" w:rsidRPr="00375DC0" w:rsidRDefault="00C160B5" w:rsidP="0057182A">
      <w:pPr>
        <w:ind w:firstLine="0"/>
        <w:jc w:val="left"/>
        <w:rPr>
          <w:rFonts w:ascii="Verdana" w:hAnsi="Verdana"/>
          <w:sz w:val="20"/>
        </w:rPr>
      </w:pPr>
    </w:p>
    <w:p w:rsidR="00C160B5" w:rsidRPr="00375DC0" w:rsidRDefault="00C160B5" w:rsidP="0057182A">
      <w:pPr>
        <w:ind w:firstLine="0"/>
        <w:jc w:val="left"/>
        <w:rPr>
          <w:rFonts w:ascii="Verdana" w:hAnsi="Verdana"/>
          <w:sz w:val="20"/>
        </w:rPr>
      </w:pPr>
      <w:r w:rsidRPr="00375DC0">
        <w:rPr>
          <w:rFonts w:ascii="Verdana" w:hAnsi="Verdana"/>
          <w:i/>
          <w:sz w:val="20"/>
        </w:rPr>
        <w:t>Subsidiary</w:t>
      </w:r>
      <w:r w:rsidRPr="00375DC0">
        <w:rPr>
          <w:rFonts w:ascii="Verdana" w:hAnsi="Verdana"/>
          <w:sz w:val="20"/>
        </w:rPr>
        <w:t xml:space="preserve">: A subsidiary is </w:t>
      </w:r>
      <w:r w:rsidRPr="00375DC0">
        <w:rPr>
          <w:rFonts w:ascii="Verdana" w:hAnsi="Verdana"/>
          <w:color w:val="000000"/>
          <w:sz w:val="20"/>
        </w:rPr>
        <w:t>an entity, including an unincorporated entity such as a partnership that is controlled by another entity known as the parent (AASB 1</w:t>
      </w:r>
      <w:r w:rsidR="007D13B8" w:rsidRPr="00375DC0">
        <w:rPr>
          <w:rFonts w:ascii="Verdana" w:hAnsi="Verdana"/>
          <w:color w:val="000000"/>
          <w:sz w:val="20"/>
        </w:rPr>
        <w:t>0</w:t>
      </w:r>
      <w:r w:rsidRPr="00375DC0">
        <w:rPr>
          <w:rFonts w:ascii="Verdana" w:hAnsi="Verdana"/>
          <w:color w:val="000000"/>
          <w:sz w:val="20"/>
        </w:rPr>
        <w:t>.</w:t>
      </w:r>
      <w:r w:rsidR="007D13B8" w:rsidRPr="00375DC0">
        <w:rPr>
          <w:rFonts w:ascii="Verdana" w:hAnsi="Verdana"/>
          <w:color w:val="000000"/>
          <w:sz w:val="20"/>
        </w:rPr>
        <w:t>Appe</w:t>
      </w:r>
      <w:r w:rsidR="00DE0FBB">
        <w:rPr>
          <w:rFonts w:ascii="Verdana" w:hAnsi="Verdana"/>
          <w:color w:val="000000"/>
          <w:sz w:val="20"/>
        </w:rPr>
        <w:t>n</w:t>
      </w:r>
      <w:r w:rsidR="007D13B8" w:rsidRPr="00375DC0">
        <w:rPr>
          <w:rFonts w:ascii="Verdana" w:hAnsi="Verdana"/>
          <w:color w:val="000000"/>
          <w:sz w:val="20"/>
        </w:rPr>
        <w:t>dix A</w:t>
      </w:r>
      <w:r w:rsidRPr="00375DC0">
        <w:rPr>
          <w:rFonts w:ascii="Verdana" w:hAnsi="Verdana"/>
          <w:color w:val="000000"/>
          <w:sz w:val="20"/>
        </w:rPr>
        <w:t>). In the above illustration</w:t>
      </w:r>
      <w:r w:rsidR="009C731E">
        <w:rPr>
          <w:rFonts w:ascii="Verdana" w:hAnsi="Verdana"/>
          <w:color w:val="000000"/>
          <w:sz w:val="20"/>
        </w:rPr>
        <w:t>,</w:t>
      </w:r>
      <w:r w:rsidRPr="00375DC0">
        <w:rPr>
          <w:rFonts w:ascii="Verdana" w:hAnsi="Verdana"/>
          <w:color w:val="000000"/>
          <w:sz w:val="20"/>
        </w:rPr>
        <w:t xml:space="preserve"> </w:t>
      </w:r>
      <w:r w:rsidRPr="00375DC0">
        <w:rPr>
          <w:rFonts w:ascii="Verdana" w:hAnsi="Verdana"/>
          <w:sz w:val="20"/>
        </w:rPr>
        <w:t xml:space="preserve">B Ltd and C Ltd are subsidiaries to A Ltd because A Ltd controls them through a singular line of power. C Ltd is also a subsidiary to B Ltd. </w:t>
      </w:r>
    </w:p>
    <w:p w:rsidR="00C160B5" w:rsidRPr="00375DC0" w:rsidRDefault="00C160B5" w:rsidP="0057182A">
      <w:pPr>
        <w:ind w:firstLine="0"/>
        <w:jc w:val="left"/>
        <w:rPr>
          <w:rFonts w:ascii="Verdana" w:hAnsi="Verdana"/>
          <w:sz w:val="20"/>
        </w:rPr>
      </w:pPr>
    </w:p>
    <w:p w:rsidR="00C160B5" w:rsidRPr="00375DC0" w:rsidRDefault="00C160B5" w:rsidP="0057182A">
      <w:pPr>
        <w:ind w:firstLine="0"/>
        <w:jc w:val="left"/>
        <w:rPr>
          <w:rFonts w:ascii="Verdana" w:hAnsi="Verdana"/>
          <w:sz w:val="20"/>
        </w:rPr>
      </w:pPr>
      <w:r w:rsidRPr="00375DC0">
        <w:rPr>
          <w:rFonts w:ascii="Verdana" w:hAnsi="Verdana"/>
          <w:i/>
          <w:sz w:val="20"/>
        </w:rPr>
        <w:t>Group:</w:t>
      </w:r>
      <w:r w:rsidRPr="00375DC0">
        <w:rPr>
          <w:rFonts w:ascii="Verdana" w:hAnsi="Verdana"/>
          <w:sz w:val="20"/>
        </w:rPr>
        <w:t xml:space="preserve"> A group consists of </w:t>
      </w:r>
      <w:r w:rsidRPr="00375DC0">
        <w:rPr>
          <w:rFonts w:ascii="Verdana" w:hAnsi="Verdana"/>
          <w:color w:val="000000"/>
          <w:sz w:val="20"/>
        </w:rPr>
        <w:t>a parent (entity) and all its subsidiaries (AASB 1</w:t>
      </w:r>
      <w:r w:rsidR="007D13B8" w:rsidRPr="00375DC0">
        <w:rPr>
          <w:rFonts w:ascii="Verdana" w:hAnsi="Verdana"/>
          <w:color w:val="000000"/>
          <w:sz w:val="20"/>
        </w:rPr>
        <w:t>0</w:t>
      </w:r>
      <w:r w:rsidRPr="00375DC0">
        <w:rPr>
          <w:rFonts w:ascii="Verdana" w:hAnsi="Verdana"/>
          <w:color w:val="000000"/>
          <w:sz w:val="20"/>
        </w:rPr>
        <w:t>.</w:t>
      </w:r>
      <w:r w:rsidR="007D13B8" w:rsidRPr="00375DC0">
        <w:rPr>
          <w:rFonts w:ascii="Verdana" w:hAnsi="Verdana"/>
          <w:color w:val="000000"/>
          <w:sz w:val="20"/>
        </w:rPr>
        <w:t>Appe</w:t>
      </w:r>
      <w:r w:rsidR="00DE0FBB">
        <w:rPr>
          <w:rFonts w:ascii="Verdana" w:hAnsi="Verdana"/>
          <w:color w:val="000000"/>
          <w:sz w:val="20"/>
        </w:rPr>
        <w:t>n</w:t>
      </w:r>
      <w:r w:rsidR="007D13B8" w:rsidRPr="00375DC0">
        <w:rPr>
          <w:rFonts w:ascii="Verdana" w:hAnsi="Verdana"/>
          <w:color w:val="000000"/>
          <w:sz w:val="20"/>
        </w:rPr>
        <w:t>dix A</w:t>
      </w:r>
      <w:r w:rsidRPr="00375DC0">
        <w:rPr>
          <w:rFonts w:ascii="Verdana" w:hAnsi="Verdana"/>
          <w:color w:val="000000"/>
          <w:sz w:val="20"/>
        </w:rPr>
        <w:t>). In the above illustration</w:t>
      </w:r>
      <w:r w:rsidR="009C731E">
        <w:rPr>
          <w:rFonts w:ascii="Verdana" w:hAnsi="Verdana"/>
          <w:color w:val="000000"/>
          <w:sz w:val="20"/>
        </w:rPr>
        <w:t>,</w:t>
      </w:r>
      <w:r w:rsidRPr="00375DC0">
        <w:rPr>
          <w:rFonts w:ascii="Verdana" w:hAnsi="Verdana"/>
          <w:color w:val="000000"/>
          <w:sz w:val="20"/>
        </w:rPr>
        <w:t xml:space="preserve"> t</w:t>
      </w:r>
      <w:r w:rsidRPr="00375DC0">
        <w:rPr>
          <w:rFonts w:ascii="Verdana" w:hAnsi="Verdana"/>
          <w:sz w:val="20"/>
        </w:rPr>
        <w:t>he A Ltd group comprises A Ltd and its controlled entities B Ltd and C Ltd. It should be noted that there is also a B Ltd group made up of B Ltd (parent entity of the B Ltd group) and C Ltd (its subsidiary).</w:t>
      </w:r>
    </w:p>
    <w:p w:rsidR="00C160B5" w:rsidRPr="00375DC0" w:rsidRDefault="00C160B5" w:rsidP="0057182A">
      <w:pPr>
        <w:ind w:firstLine="0"/>
        <w:jc w:val="left"/>
        <w:rPr>
          <w:rFonts w:ascii="Verdana" w:hAnsi="Verdana"/>
          <w:sz w:val="20"/>
        </w:rPr>
      </w:pPr>
    </w:p>
    <w:p w:rsidR="00C160B5" w:rsidRPr="00375DC0" w:rsidRDefault="00C160B5" w:rsidP="0057182A">
      <w:pPr>
        <w:ind w:firstLine="0"/>
        <w:jc w:val="left"/>
        <w:rPr>
          <w:rFonts w:ascii="Verdana" w:hAnsi="Verdana"/>
          <w:b/>
          <w:sz w:val="20"/>
        </w:rPr>
      </w:pPr>
    </w:p>
    <w:p w:rsidR="002E290D" w:rsidRPr="00F97A0E" w:rsidRDefault="00124642" w:rsidP="0057182A">
      <w:pPr>
        <w:ind w:firstLine="0"/>
        <w:jc w:val="left"/>
        <w:rPr>
          <w:rFonts w:ascii="Verdana" w:hAnsi="Verdana"/>
          <w:i/>
          <w:sz w:val="20"/>
        </w:rPr>
      </w:pPr>
      <w:r w:rsidRPr="00F97A0E">
        <w:rPr>
          <w:rFonts w:ascii="Verdana" w:hAnsi="Verdana"/>
          <w:b/>
          <w:i/>
          <w:sz w:val="20"/>
        </w:rPr>
        <w:t>Q</w:t>
      </w:r>
      <w:r w:rsidR="002E290D" w:rsidRPr="00F97A0E">
        <w:rPr>
          <w:rFonts w:ascii="Verdana" w:hAnsi="Verdana"/>
          <w:b/>
          <w:i/>
          <w:sz w:val="20"/>
        </w:rPr>
        <w:t>1.</w:t>
      </w:r>
      <w:r w:rsidR="00C160B5" w:rsidRPr="00F97A0E">
        <w:rPr>
          <w:rFonts w:ascii="Verdana" w:hAnsi="Verdana"/>
          <w:b/>
          <w:i/>
          <w:sz w:val="20"/>
        </w:rPr>
        <w:t>2</w:t>
      </w:r>
      <w:r w:rsidR="00C160B5" w:rsidRPr="00F97A0E">
        <w:rPr>
          <w:rFonts w:ascii="Verdana" w:hAnsi="Verdana"/>
          <w:i/>
          <w:sz w:val="20"/>
        </w:rPr>
        <w:t xml:space="preserve"> </w:t>
      </w:r>
      <w:r w:rsidR="00AA49FB" w:rsidRPr="00F97A0E">
        <w:rPr>
          <w:rFonts w:ascii="Verdana" w:hAnsi="Verdana"/>
          <w:b/>
          <w:i/>
          <w:sz w:val="20"/>
        </w:rPr>
        <w:t>R</w:t>
      </w:r>
      <w:r w:rsidR="002E290D" w:rsidRPr="00F97A0E">
        <w:rPr>
          <w:rFonts w:ascii="Verdana" w:hAnsi="Verdana"/>
          <w:b/>
          <w:i/>
          <w:sz w:val="20"/>
        </w:rPr>
        <w:t>ationale for groups</w:t>
      </w:r>
      <w:r w:rsidR="00E27993" w:rsidRPr="00F97A0E">
        <w:rPr>
          <w:rFonts w:ascii="Verdana" w:hAnsi="Verdana"/>
          <w:b/>
          <w:i/>
          <w:sz w:val="20"/>
        </w:rPr>
        <w:t xml:space="preserve"> (Section 1.</w:t>
      </w:r>
      <w:r w:rsidR="00C8572E" w:rsidRPr="00F97A0E">
        <w:rPr>
          <w:rFonts w:ascii="Verdana" w:hAnsi="Verdana"/>
          <w:b/>
          <w:i/>
          <w:sz w:val="20"/>
        </w:rPr>
        <w:t>3</w:t>
      </w:r>
      <w:r w:rsidR="00E27993" w:rsidRPr="00F97A0E">
        <w:rPr>
          <w:rFonts w:ascii="Verdana" w:hAnsi="Verdana"/>
          <w:b/>
          <w:i/>
          <w:sz w:val="20"/>
        </w:rPr>
        <w:t>)</w:t>
      </w:r>
    </w:p>
    <w:p w:rsidR="002E290D" w:rsidRPr="00375DC0" w:rsidRDefault="002E290D" w:rsidP="0057182A">
      <w:pPr>
        <w:jc w:val="left"/>
        <w:rPr>
          <w:rFonts w:ascii="Verdana" w:hAnsi="Verdana"/>
          <w:sz w:val="20"/>
        </w:rPr>
      </w:pPr>
    </w:p>
    <w:p w:rsidR="002E290D" w:rsidRPr="00375DC0" w:rsidRDefault="002E290D" w:rsidP="0057182A">
      <w:pPr>
        <w:ind w:firstLine="0"/>
        <w:jc w:val="left"/>
        <w:rPr>
          <w:rFonts w:ascii="Verdana" w:hAnsi="Verdana"/>
          <w:sz w:val="20"/>
        </w:rPr>
      </w:pPr>
      <w:r w:rsidRPr="00375DC0">
        <w:rPr>
          <w:rFonts w:ascii="Verdana" w:hAnsi="Verdana"/>
          <w:sz w:val="20"/>
        </w:rPr>
        <w:t xml:space="preserve">There are a number of advantages of conducting business activities using multiple </w:t>
      </w:r>
      <w:r w:rsidR="00E27993" w:rsidRPr="00375DC0">
        <w:rPr>
          <w:rFonts w:ascii="Verdana" w:hAnsi="Verdana"/>
          <w:sz w:val="20"/>
        </w:rPr>
        <w:t xml:space="preserve">entities </w:t>
      </w:r>
      <w:r w:rsidRPr="00375DC0">
        <w:rPr>
          <w:rFonts w:ascii="Verdana" w:hAnsi="Verdana"/>
          <w:sz w:val="20"/>
        </w:rPr>
        <w:t xml:space="preserve">rather than a single </w:t>
      </w:r>
      <w:r w:rsidR="00E27993" w:rsidRPr="00375DC0">
        <w:rPr>
          <w:rFonts w:ascii="Verdana" w:hAnsi="Verdana"/>
          <w:sz w:val="20"/>
        </w:rPr>
        <w:t>entity</w:t>
      </w:r>
      <w:r w:rsidR="00B9110E" w:rsidRPr="00375DC0">
        <w:rPr>
          <w:rFonts w:ascii="Verdana" w:hAnsi="Verdana"/>
          <w:sz w:val="20"/>
        </w:rPr>
        <w:t xml:space="preserve">. </w:t>
      </w:r>
      <w:r w:rsidRPr="00375DC0">
        <w:rPr>
          <w:rFonts w:ascii="Verdana" w:hAnsi="Verdana"/>
          <w:sz w:val="20"/>
        </w:rPr>
        <w:t>The Compan</w:t>
      </w:r>
      <w:r w:rsidR="00E97BB0" w:rsidRPr="00375DC0">
        <w:rPr>
          <w:rFonts w:ascii="Verdana" w:hAnsi="Verdana"/>
          <w:sz w:val="20"/>
        </w:rPr>
        <w:t>ies</w:t>
      </w:r>
      <w:r w:rsidRPr="00375DC0">
        <w:rPr>
          <w:rFonts w:ascii="Verdana" w:hAnsi="Verdana"/>
          <w:sz w:val="20"/>
        </w:rPr>
        <w:t xml:space="preserve"> and Securities Advisory Committee (2000) identified the following potential benefits of conducting economic activity through a corporate group structure</w:t>
      </w:r>
      <w:r w:rsidR="009F4616">
        <w:rPr>
          <w:rFonts w:ascii="Verdana" w:hAnsi="Verdana"/>
          <w:sz w:val="20"/>
        </w:rPr>
        <w:t>.</w:t>
      </w:r>
    </w:p>
    <w:p w:rsidR="002E290D" w:rsidRPr="00375DC0" w:rsidRDefault="002E290D" w:rsidP="0057182A">
      <w:pPr>
        <w:ind w:firstLine="0"/>
        <w:jc w:val="left"/>
        <w:rPr>
          <w:rFonts w:ascii="Verdana" w:hAnsi="Verdana"/>
          <w:sz w:val="20"/>
        </w:rPr>
      </w:pPr>
    </w:p>
    <w:p w:rsidR="0057595D" w:rsidRDefault="002E290D" w:rsidP="004F0AA8">
      <w:pPr>
        <w:numPr>
          <w:ilvl w:val="0"/>
          <w:numId w:val="48"/>
        </w:numPr>
        <w:ind w:left="360"/>
        <w:jc w:val="left"/>
        <w:rPr>
          <w:rFonts w:ascii="Verdana" w:hAnsi="Verdana"/>
          <w:sz w:val="20"/>
        </w:rPr>
      </w:pPr>
      <w:r w:rsidRPr="00375DC0">
        <w:rPr>
          <w:rFonts w:ascii="Verdana" w:hAnsi="Verdana"/>
          <w:sz w:val="20"/>
        </w:rPr>
        <w:t>Reducing commercial risk or maximising potential returns through diversification.</w:t>
      </w:r>
      <w:r w:rsidR="00AA49FB" w:rsidRPr="00375DC0">
        <w:rPr>
          <w:rFonts w:ascii="Verdana" w:hAnsi="Verdana"/>
          <w:sz w:val="20"/>
        </w:rPr>
        <w:t xml:space="preserve"> </w:t>
      </w:r>
      <w:r w:rsidRPr="00375DC0">
        <w:rPr>
          <w:rFonts w:ascii="Verdana" w:hAnsi="Verdana"/>
          <w:sz w:val="20"/>
        </w:rPr>
        <w:t>Often diversification is achieved through incorporating or acquiring new companies</w:t>
      </w:r>
      <w:r w:rsidR="009F4616">
        <w:rPr>
          <w:rFonts w:ascii="Verdana" w:hAnsi="Verdana"/>
          <w:sz w:val="20"/>
        </w:rPr>
        <w:t>.</w:t>
      </w:r>
    </w:p>
    <w:p w:rsidR="0057595D" w:rsidRDefault="0057595D" w:rsidP="004F0AA8">
      <w:pPr>
        <w:ind w:left="66" w:firstLine="0"/>
        <w:jc w:val="left"/>
        <w:rPr>
          <w:rFonts w:ascii="Verdana" w:hAnsi="Verdana"/>
          <w:sz w:val="20"/>
        </w:rPr>
      </w:pPr>
    </w:p>
    <w:p w:rsidR="0057595D" w:rsidRDefault="002E290D" w:rsidP="004F0AA8">
      <w:pPr>
        <w:numPr>
          <w:ilvl w:val="0"/>
          <w:numId w:val="48"/>
        </w:numPr>
        <w:ind w:left="360"/>
        <w:jc w:val="left"/>
        <w:rPr>
          <w:rFonts w:ascii="Verdana" w:hAnsi="Verdana"/>
          <w:sz w:val="20"/>
        </w:rPr>
      </w:pPr>
      <w:r w:rsidRPr="0057595D">
        <w:rPr>
          <w:rFonts w:ascii="Verdana" w:hAnsi="Verdana"/>
          <w:sz w:val="20"/>
        </w:rPr>
        <w:t>Attracting capital without forfeiting control.</w:t>
      </w:r>
      <w:r w:rsidR="00AA49FB" w:rsidRPr="0057595D">
        <w:rPr>
          <w:rFonts w:ascii="Verdana" w:hAnsi="Verdana"/>
          <w:sz w:val="20"/>
        </w:rPr>
        <w:t xml:space="preserve"> </w:t>
      </w:r>
      <w:r w:rsidRPr="0057595D">
        <w:rPr>
          <w:rFonts w:ascii="Verdana" w:hAnsi="Verdana"/>
          <w:sz w:val="20"/>
        </w:rPr>
        <w:t>Management may not wish to allow outside investors to increase their level of control of the parent entity, but want outside investment as part of their overall business. This can be achieved by allowing outside shareholders to acquire shares in a subsidiary</w:t>
      </w:r>
      <w:r w:rsidR="009F4616">
        <w:rPr>
          <w:rFonts w:ascii="Verdana" w:hAnsi="Verdana"/>
          <w:sz w:val="20"/>
        </w:rPr>
        <w:t>.</w:t>
      </w:r>
    </w:p>
    <w:p w:rsidR="0057595D" w:rsidRDefault="0057595D" w:rsidP="004F0AA8">
      <w:pPr>
        <w:pStyle w:val="ListParagraph"/>
        <w:ind w:left="360"/>
        <w:jc w:val="left"/>
        <w:rPr>
          <w:rFonts w:ascii="Verdana" w:hAnsi="Verdana"/>
          <w:sz w:val="20"/>
        </w:rPr>
      </w:pPr>
    </w:p>
    <w:p w:rsidR="0057595D" w:rsidRDefault="002E290D" w:rsidP="004F0AA8">
      <w:pPr>
        <w:numPr>
          <w:ilvl w:val="0"/>
          <w:numId w:val="48"/>
        </w:numPr>
        <w:ind w:left="360"/>
        <w:jc w:val="left"/>
        <w:rPr>
          <w:rFonts w:ascii="Verdana" w:hAnsi="Verdana"/>
          <w:sz w:val="20"/>
        </w:rPr>
      </w:pPr>
      <w:r w:rsidRPr="0057595D">
        <w:rPr>
          <w:rFonts w:ascii="Verdana" w:hAnsi="Verdana"/>
          <w:sz w:val="20"/>
        </w:rPr>
        <w:t>Lowering the risks of legal liability, including environmental and consumer liability.</w:t>
      </w:r>
      <w:r w:rsidR="00AA49FB" w:rsidRPr="0057595D">
        <w:rPr>
          <w:rFonts w:ascii="Verdana" w:hAnsi="Verdana"/>
          <w:sz w:val="20"/>
        </w:rPr>
        <w:t xml:space="preserve"> </w:t>
      </w:r>
      <w:r w:rsidRPr="0057595D">
        <w:rPr>
          <w:rFonts w:ascii="Verdana" w:hAnsi="Verdana"/>
          <w:sz w:val="20"/>
        </w:rPr>
        <w:t>By setting up a number of separate subsidiaries, other group assets can be isolated and protected from high liability risks.</w:t>
      </w:r>
      <w:r w:rsidR="00AA49FB" w:rsidRPr="0057595D">
        <w:rPr>
          <w:rFonts w:ascii="Verdana" w:hAnsi="Verdana"/>
          <w:sz w:val="20"/>
        </w:rPr>
        <w:t xml:space="preserve"> </w:t>
      </w:r>
      <w:r w:rsidRPr="0057595D">
        <w:rPr>
          <w:rFonts w:ascii="Verdana" w:hAnsi="Verdana"/>
          <w:sz w:val="20"/>
        </w:rPr>
        <w:t>In other words, high</w:t>
      </w:r>
      <w:r w:rsidR="009F4616">
        <w:rPr>
          <w:rFonts w:ascii="Verdana" w:hAnsi="Verdana"/>
          <w:sz w:val="20"/>
        </w:rPr>
        <w:t>-</w:t>
      </w:r>
      <w:r w:rsidRPr="0057595D">
        <w:rPr>
          <w:rFonts w:ascii="Verdana" w:hAnsi="Verdana"/>
          <w:sz w:val="20"/>
        </w:rPr>
        <w:t xml:space="preserve">risk activities are ‘quarantined’ in a limited liability </w:t>
      </w:r>
      <w:r w:rsidR="00E27993" w:rsidRPr="0057595D">
        <w:rPr>
          <w:rFonts w:ascii="Verdana" w:hAnsi="Verdana"/>
          <w:sz w:val="20"/>
        </w:rPr>
        <w:t>entity</w:t>
      </w:r>
      <w:r w:rsidR="009F4616">
        <w:rPr>
          <w:rFonts w:ascii="Verdana" w:hAnsi="Verdana"/>
          <w:sz w:val="20"/>
        </w:rPr>
        <w:t>.</w:t>
      </w:r>
    </w:p>
    <w:p w:rsidR="0057595D" w:rsidRDefault="0057595D" w:rsidP="004F0AA8">
      <w:pPr>
        <w:pStyle w:val="ListParagraph"/>
        <w:ind w:left="360"/>
        <w:jc w:val="left"/>
        <w:rPr>
          <w:rFonts w:ascii="Verdana" w:hAnsi="Verdana"/>
          <w:sz w:val="20"/>
        </w:rPr>
      </w:pPr>
    </w:p>
    <w:p w:rsidR="0057595D" w:rsidRDefault="002E290D" w:rsidP="004F0AA8">
      <w:pPr>
        <w:numPr>
          <w:ilvl w:val="0"/>
          <w:numId w:val="48"/>
        </w:numPr>
        <w:ind w:left="360"/>
        <w:jc w:val="left"/>
        <w:rPr>
          <w:rFonts w:ascii="Verdana" w:hAnsi="Verdana"/>
          <w:sz w:val="20"/>
        </w:rPr>
      </w:pPr>
      <w:r w:rsidRPr="0057595D">
        <w:rPr>
          <w:rFonts w:ascii="Verdana" w:hAnsi="Verdana"/>
          <w:sz w:val="20"/>
        </w:rPr>
        <w:t>Providing better security for proposed loans.</w:t>
      </w:r>
      <w:r w:rsidR="00AA49FB" w:rsidRPr="0057595D">
        <w:rPr>
          <w:rFonts w:ascii="Verdana" w:hAnsi="Verdana"/>
          <w:sz w:val="20"/>
        </w:rPr>
        <w:t xml:space="preserve"> </w:t>
      </w:r>
      <w:r w:rsidRPr="0057595D">
        <w:rPr>
          <w:rFonts w:ascii="Verdana" w:hAnsi="Verdana"/>
          <w:sz w:val="20"/>
        </w:rPr>
        <w:t xml:space="preserve">By transferring assets into a separate </w:t>
      </w:r>
      <w:r w:rsidR="00E27993" w:rsidRPr="0057595D">
        <w:rPr>
          <w:rFonts w:ascii="Verdana" w:hAnsi="Verdana"/>
          <w:sz w:val="20"/>
        </w:rPr>
        <w:t>entity</w:t>
      </w:r>
      <w:r w:rsidRPr="0057595D">
        <w:rPr>
          <w:rFonts w:ascii="Verdana" w:hAnsi="Verdana"/>
          <w:sz w:val="20"/>
        </w:rPr>
        <w:t>, a potential lender will have the opportunity to obtain a first charge over specific assets.</w:t>
      </w:r>
      <w:r w:rsidR="00AA49FB" w:rsidRPr="0057595D">
        <w:rPr>
          <w:rFonts w:ascii="Verdana" w:hAnsi="Verdana"/>
          <w:sz w:val="20"/>
        </w:rPr>
        <w:t xml:space="preserve"> </w:t>
      </w:r>
      <w:r w:rsidRPr="0057595D">
        <w:rPr>
          <w:rFonts w:ascii="Verdana" w:hAnsi="Verdana"/>
          <w:sz w:val="20"/>
        </w:rPr>
        <w:t>This could benefit the group by facilitating a lower cost of borrowing, particularly through project financing</w:t>
      </w:r>
      <w:r w:rsidR="009F4616">
        <w:rPr>
          <w:rFonts w:ascii="Verdana" w:hAnsi="Verdana"/>
          <w:sz w:val="20"/>
        </w:rPr>
        <w:t>.</w:t>
      </w:r>
    </w:p>
    <w:p w:rsidR="0057595D" w:rsidRDefault="0057595D" w:rsidP="004F0AA8">
      <w:pPr>
        <w:pStyle w:val="ListParagraph"/>
        <w:ind w:left="360"/>
        <w:jc w:val="left"/>
        <w:rPr>
          <w:rFonts w:ascii="Verdana" w:hAnsi="Verdana"/>
          <w:sz w:val="20"/>
        </w:rPr>
      </w:pPr>
    </w:p>
    <w:p w:rsidR="002E290D" w:rsidRPr="0057595D" w:rsidRDefault="002E290D" w:rsidP="004F0AA8">
      <w:pPr>
        <w:numPr>
          <w:ilvl w:val="0"/>
          <w:numId w:val="48"/>
        </w:numPr>
        <w:ind w:left="360"/>
        <w:jc w:val="left"/>
        <w:rPr>
          <w:rFonts w:ascii="Verdana" w:hAnsi="Verdana"/>
          <w:sz w:val="20"/>
        </w:rPr>
      </w:pPr>
      <w:r w:rsidRPr="0057595D">
        <w:rPr>
          <w:rFonts w:ascii="Verdana" w:hAnsi="Verdana"/>
          <w:sz w:val="20"/>
        </w:rPr>
        <w:t>To comply with regulatory requirements.</w:t>
      </w:r>
      <w:r w:rsidR="00AA49FB" w:rsidRPr="0057595D">
        <w:rPr>
          <w:rFonts w:ascii="Verdana" w:hAnsi="Verdana"/>
          <w:sz w:val="20"/>
        </w:rPr>
        <w:t xml:space="preserve"> </w:t>
      </w:r>
      <w:r w:rsidRPr="0057595D">
        <w:rPr>
          <w:rFonts w:ascii="Verdana" w:hAnsi="Verdana"/>
          <w:sz w:val="20"/>
        </w:rPr>
        <w:t>Some multinational groups need to comply with the foreign rules which require that business operations be conducted through a subsidiary that is incorporated in the foreign jurisdiction</w:t>
      </w:r>
      <w:r w:rsidR="00AA49FB" w:rsidRPr="0057595D">
        <w:rPr>
          <w:rFonts w:ascii="Verdana" w:hAnsi="Verdana"/>
          <w:sz w:val="20"/>
        </w:rPr>
        <w:t>.</w:t>
      </w:r>
    </w:p>
    <w:p w:rsidR="0055519E" w:rsidRDefault="0055519E" w:rsidP="0057182A">
      <w:pPr>
        <w:ind w:firstLine="0"/>
        <w:jc w:val="left"/>
        <w:rPr>
          <w:rFonts w:ascii="Verdana" w:hAnsi="Verdana"/>
          <w:b/>
          <w:sz w:val="20"/>
        </w:rPr>
      </w:pPr>
    </w:p>
    <w:p w:rsidR="00CA369A" w:rsidRDefault="00CA369A" w:rsidP="0057182A">
      <w:pPr>
        <w:ind w:firstLine="0"/>
        <w:jc w:val="left"/>
        <w:rPr>
          <w:rFonts w:ascii="Verdana" w:hAnsi="Verdana"/>
          <w:b/>
          <w:sz w:val="20"/>
        </w:rPr>
      </w:pPr>
    </w:p>
    <w:p w:rsidR="002E290D" w:rsidRPr="00F97A0E" w:rsidRDefault="00124642" w:rsidP="0057182A">
      <w:pPr>
        <w:ind w:firstLine="0"/>
        <w:jc w:val="left"/>
        <w:rPr>
          <w:rFonts w:ascii="Verdana" w:hAnsi="Verdana"/>
          <w:b/>
          <w:i/>
          <w:sz w:val="20"/>
        </w:rPr>
      </w:pPr>
      <w:r w:rsidRPr="00F97A0E">
        <w:rPr>
          <w:rFonts w:ascii="Verdana" w:hAnsi="Verdana"/>
          <w:b/>
          <w:i/>
          <w:sz w:val="20"/>
        </w:rPr>
        <w:t>Q</w:t>
      </w:r>
      <w:r w:rsidR="006D10F3" w:rsidRPr="00F97A0E">
        <w:rPr>
          <w:rFonts w:ascii="Verdana" w:hAnsi="Verdana"/>
          <w:b/>
          <w:i/>
          <w:sz w:val="20"/>
        </w:rPr>
        <w:t>1.</w:t>
      </w:r>
      <w:r w:rsidR="00C160B5" w:rsidRPr="00F97A0E">
        <w:rPr>
          <w:rFonts w:ascii="Verdana" w:hAnsi="Verdana"/>
          <w:b/>
          <w:i/>
          <w:sz w:val="20"/>
        </w:rPr>
        <w:t xml:space="preserve">3 </w:t>
      </w:r>
      <w:r w:rsidR="002E290D" w:rsidRPr="00F97A0E">
        <w:rPr>
          <w:rFonts w:ascii="Verdana" w:hAnsi="Verdana"/>
          <w:b/>
          <w:i/>
          <w:sz w:val="20"/>
        </w:rPr>
        <w:t>Co</w:t>
      </w:r>
      <w:r w:rsidR="006D10F3" w:rsidRPr="00F97A0E">
        <w:rPr>
          <w:rFonts w:ascii="Verdana" w:hAnsi="Verdana"/>
          <w:b/>
          <w:i/>
          <w:sz w:val="20"/>
        </w:rPr>
        <w:t>nsolidated financial statements</w:t>
      </w:r>
      <w:r w:rsidR="00E27993" w:rsidRPr="00F97A0E">
        <w:rPr>
          <w:rFonts w:ascii="Verdana" w:hAnsi="Verdana"/>
          <w:b/>
          <w:i/>
          <w:sz w:val="20"/>
        </w:rPr>
        <w:t xml:space="preserve"> (Section 1.</w:t>
      </w:r>
      <w:r w:rsidR="00C8572E" w:rsidRPr="00F97A0E">
        <w:rPr>
          <w:rFonts w:ascii="Verdana" w:hAnsi="Verdana"/>
          <w:b/>
          <w:i/>
          <w:sz w:val="20"/>
        </w:rPr>
        <w:t>4</w:t>
      </w:r>
      <w:r w:rsidR="00E27993" w:rsidRPr="00F97A0E">
        <w:rPr>
          <w:rFonts w:ascii="Verdana" w:hAnsi="Verdana"/>
          <w:b/>
          <w:i/>
          <w:sz w:val="20"/>
        </w:rPr>
        <w:t>.1)</w:t>
      </w:r>
    </w:p>
    <w:p w:rsidR="002E290D" w:rsidRPr="00375DC0" w:rsidRDefault="002E290D" w:rsidP="0057182A">
      <w:pPr>
        <w:ind w:firstLine="0"/>
        <w:jc w:val="left"/>
        <w:rPr>
          <w:rFonts w:ascii="Verdana" w:hAnsi="Verdana"/>
          <w:sz w:val="20"/>
        </w:rPr>
      </w:pPr>
    </w:p>
    <w:p w:rsidR="002E290D" w:rsidRPr="00375DC0" w:rsidRDefault="002E290D" w:rsidP="0057182A">
      <w:pPr>
        <w:pStyle w:val="BodyText"/>
        <w:jc w:val="left"/>
        <w:rPr>
          <w:rFonts w:ascii="Verdana" w:hAnsi="Verdana"/>
          <w:sz w:val="20"/>
        </w:rPr>
      </w:pPr>
      <w:r w:rsidRPr="00375DC0">
        <w:rPr>
          <w:rFonts w:ascii="Verdana" w:hAnsi="Verdana"/>
          <w:sz w:val="20"/>
        </w:rPr>
        <w:t>The objective of consolidated financial statements is to show the operating results and financial position of a cluster of business entities related by control (</w:t>
      </w:r>
      <w:r w:rsidR="009F4616">
        <w:rPr>
          <w:rFonts w:ascii="Verdana" w:hAnsi="Verdana"/>
          <w:sz w:val="20"/>
        </w:rPr>
        <w:t>i.e.</w:t>
      </w:r>
      <w:r w:rsidRPr="00375DC0">
        <w:rPr>
          <w:rFonts w:ascii="Verdana" w:hAnsi="Verdana"/>
          <w:sz w:val="20"/>
        </w:rPr>
        <w:t xml:space="preserve">, a group) as if they were operating as a single accounting entity controlled by the same management (the parent of the group). The consolidated </w:t>
      </w:r>
      <w:r w:rsidR="00E27993" w:rsidRPr="00375DC0">
        <w:rPr>
          <w:rFonts w:ascii="Verdana" w:hAnsi="Verdana"/>
          <w:sz w:val="20"/>
        </w:rPr>
        <w:t xml:space="preserve">statement of comprehensive </w:t>
      </w:r>
      <w:r w:rsidRPr="00375DC0">
        <w:rPr>
          <w:rFonts w:ascii="Verdana" w:hAnsi="Verdana"/>
          <w:sz w:val="20"/>
        </w:rPr>
        <w:t xml:space="preserve">income reports the profit or loss that arises from transactions with parties that are external to the group. Similarly, the consolidated </w:t>
      </w:r>
      <w:r w:rsidR="00451B39" w:rsidRPr="00375DC0">
        <w:rPr>
          <w:rFonts w:ascii="Verdana" w:hAnsi="Verdana"/>
          <w:sz w:val="20"/>
        </w:rPr>
        <w:t xml:space="preserve">statement of financial position </w:t>
      </w:r>
      <w:r w:rsidRPr="00375DC0">
        <w:rPr>
          <w:rFonts w:ascii="Verdana" w:hAnsi="Verdana"/>
          <w:sz w:val="20"/>
        </w:rPr>
        <w:t>shows the assets controlled by the group, the liabilities the group owes to external parties and the equity of the collective owners of the group. The consolidated statement of changes in equity explains the change in consolidated equity between the end of the previous period and the end of the current period</w:t>
      </w:r>
      <w:r w:rsidR="009F4616">
        <w:rPr>
          <w:rFonts w:ascii="Verdana" w:hAnsi="Verdana"/>
          <w:sz w:val="20"/>
        </w:rPr>
        <w:t>,</w:t>
      </w:r>
      <w:r w:rsidRPr="00375DC0">
        <w:rPr>
          <w:rFonts w:ascii="Verdana" w:hAnsi="Verdana"/>
          <w:sz w:val="20"/>
        </w:rPr>
        <w:t xml:space="preserve"> while the consolidated cash flow statement reports the cash flows that have occurred between the group and parties external to the group.</w:t>
      </w:r>
    </w:p>
    <w:p w:rsidR="002E290D" w:rsidRPr="00375DC0" w:rsidRDefault="002E290D" w:rsidP="0057182A">
      <w:pPr>
        <w:ind w:firstLine="0"/>
        <w:jc w:val="left"/>
        <w:rPr>
          <w:rFonts w:ascii="Verdana" w:hAnsi="Verdana"/>
          <w:color w:val="000000"/>
          <w:sz w:val="20"/>
          <w:lang w:val="en-US"/>
        </w:rPr>
      </w:pPr>
    </w:p>
    <w:p w:rsidR="002E290D" w:rsidRPr="00375DC0" w:rsidRDefault="002E290D" w:rsidP="0057182A">
      <w:pPr>
        <w:ind w:firstLine="0"/>
        <w:jc w:val="left"/>
        <w:rPr>
          <w:rFonts w:ascii="Verdana" w:hAnsi="Verdana"/>
          <w:color w:val="000000"/>
          <w:sz w:val="20"/>
          <w:lang w:val="en-US"/>
        </w:rPr>
      </w:pPr>
      <w:r w:rsidRPr="00375DC0">
        <w:rPr>
          <w:rFonts w:ascii="Verdana" w:hAnsi="Verdana"/>
          <w:color w:val="000000"/>
          <w:sz w:val="20"/>
          <w:lang w:val="en-US"/>
        </w:rPr>
        <w:t xml:space="preserve">Consolidated financial statements provide financial information based on the group’s point of view. The parent </w:t>
      </w:r>
      <w:r w:rsidR="00451B39" w:rsidRPr="00375DC0">
        <w:rPr>
          <w:rFonts w:ascii="Verdana" w:hAnsi="Verdana"/>
          <w:color w:val="000000"/>
          <w:sz w:val="20"/>
          <w:lang w:val="en-US"/>
        </w:rPr>
        <w:t xml:space="preserve">entity </w:t>
      </w:r>
      <w:r w:rsidRPr="00375DC0">
        <w:rPr>
          <w:rFonts w:ascii="Verdana" w:hAnsi="Verdana"/>
          <w:color w:val="000000"/>
          <w:sz w:val="20"/>
          <w:lang w:val="en-US"/>
        </w:rPr>
        <w:t xml:space="preserve">and other non-controlling interests in subsidiaries are both regarded as stakeholders in the group and consolidated </w:t>
      </w:r>
      <w:r w:rsidRPr="00375DC0">
        <w:rPr>
          <w:rFonts w:ascii="Verdana" w:hAnsi="Verdana"/>
          <w:color w:val="000000"/>
          <w:sz w:val="20"/>
          <w:lang w:val="en-US"/>
        </w:rPr>
        <w:lastRenderedPageBreak/>
        <w:t xml:space="preserve">financial statements are not slanted towards any specific ownership interest within the group. The group concept of consolidation adopts a global perspective and, for accounting purposes, there is no distinction between the parent interest and </w:t>
      </w:r>
      <w:r w:rsidR="00451B39" w:rsidRPr="00375DC0">
        <w:rPr>
          <w:rFonts w:ascii="Verdana" w:hAnsi="Verdana"/>
          <w:color w:val="000000"/>
          <w:sz w:val="20"/>
          <w:lang w:val="en-US"/>
        </w:rPr>
        <w:t xml:space="preserve">non-controlling </w:t>
      </w:r>
      <w:r w:rsidRPr="00375DC0">
        <w:rPr>
          <w:rFonts w:ascii="Verdana" w:hAnsi="Verdana"/>
          <w:color w:val="000000"/>
          <w:sz w:val="20"/>
          <w:lang w:val="en-US"/>
        </w:rPr>
        <w:t xml:space="preserve">interest. However, for disclosure purposes, AASB </w:t>
      </w:r>
      <w:r w:rsidR="00C8572E" w:rsidRPr="00375DC0">
        <w:rPr>
          <w:rFonts w:ascii="Verdana" w:hAnsi="Verdana"/>
          <w:color w:val="000000"/>
          <w:sz w:val="20"/>
          <w:lang w:val="en-US"/>
        </w:rPr>
        <w:t xml:space="preserve">10 </w:t>
      </w:r>
      <w:r w:rsidRPr="00375DC0">
        <w:rPr>
          <w:rFonts w:ascii="Verdana" w:hAnsi="Verdana"/>
          <w:color w:val="000000"/>
          <w:sz w:val="20"/>
          <w:lang w:val="en-US"/>
        </w:rPr>
        <w:t xml:space="preserve">requires an allocation of total consolidated equity between the parent </w:t>
      </w:r>
      <w:r w:rsidR="00451B39" w:rsidRPr="00375DC0">
        <w:rPr>
          <w:rFonts w:ascii="Verdana" w:hAnsi="Verdana"/>
          <w:color w:val="000000"/>
          <w:sz w:val="20"/>
          <w:lang w:val="en-US"/>
        </w:rPr>
        <w:t xml:space="preserve">entity </w:t>
      </w:r>
      <w:r w:rsidRPr="00375DC0">
        <w:rPr>
          <w:rFonts w:ascii="Verdana" w:hAnsi="Verdana"/>
          <w:color w:val="000000"/>
          <w:sz w:val="20"/>
          <w:lang w:val="en-US"/>
        </w:rPr>
        <w:t xml:space="preserve">interest and </w:t>
      </w:r>
      <w:r w:rsidR="00451B39" w:rsidRPr="00375DC0">
        <w:rPr>
          <w:rFonts w:ascii="Verdana" w:hAnsi="Verdana"/>
          <w:color w:val="000000"/>
          <w:sz w:val="20"/>
          <w:lang w:val="en-US"/>
        </w:rPr>
        <w:t>non-controlling interest</w:t>
      </w:r>
      <w:r w:rsidRPr="00375DC0">
        <w:rPr>
          <w:rFonts w:ascii="Verdana" w:hAnsi="Verdana"/>
          <w:color w:val="000000"/>
          <w:sz w:val="20"/>
          <w:lang w:val="en-US"/>
        </w:rPr>
        <w:t xml:space="preserve">. </w:t>
      </w:r>
    </w:p>
    <w:p w:rsidR="002E290D" w:rsidRPr="00375DC0" w:rsidRDefault="002E290D" w:rsidP="0057182A">
      <w:pPr>
        <w:ind w:firstLine="0"/>
        <w:jc w:val="left"/>
        <w:rPr>
          <w:rFonts w:ascii="Verdana" w:hAnsi="Verdana"/>
          <w:color w:val="000000"/>
          <w:sz w:val="20"/>
          <w:lang w:val="en-US"/>
        </w:rPr>
      </w:pPr>
    </w:p>
    <w:p w:rsidR="00AA49FB" w:rsidRPr="00375DC0" w:rsidRDefault="00AA49FB" w:rsidP="0057182A">
      <w:pPr>
        <w:ind w:firstLine="0"/>
        <w:jc w:val="left"/>
        <w:rPr>
          <w:rFonts w:ascii="Verdana" w:hAnsi="Verdana"/>
          <w:color w:val="000000"/>
          <w:sz w:val="20"/>
          <w:lang w:val="en-US"/>
        </w:rPr>
      </w:pPr>
    </w:p>
    <w:p w:rsidR="00451B39" w:rsidRPr="00F97A0E" w:rsidRDefault="00124642" w:rsidP="0057182A">
      <w:pPr>
        <w:widowControl/>
        <w:autoSpaceDE w:val="0"/>
        <w:autoSpaceDN w:val="0"/>
        <w:adjustRightInd w:val="0"/>
        <w:ind w:firstLine="0"/>
        <w:jc w:val="left"/>
        <w:rPr>
          <w:rFonts w:ascii="Verdana" w:hAnsi="Verdana"/>
          <w:b/>
          <w:bCs/>
          <w:i/>
          <w:iCs/>
          <w:snapToGrid/>
          <w:sz w:val="20"/>
          <w:lang w:eastAsia="en-AU"/>
        </w:rPr>
      </w:pPr>
      <w:r w:rsidRPr="00F97A0E">
        <w:rPr>
          <w:rFonts w:ascii="Verdana" w:hAnsi="Verdana"/>
          <w:b/>
          <w:i/>
          <w:sz w:val="20"/>
        </w:rPr>
        <w:t>Q</w:t>
      </w:r>
      <w:r w:rsidR="00451B39" w:rsidRPr="00F97A0E">
        <w:rPr>
          <w:rFonts w:ascii="Verdana" w:hAnsi="Verdana"/>
          <w:b/>
          <w:i/>
          <w:sz w:val="20"/>
        </w:rPr>
        <w:t>1.</w:t>
      </w:r>
      <w:r w:rsidR="00C160B5" w:rsidRPr="00F97A0E">
        <w:rPr>
          <w:rFonts w:ascii="Verdana" w:hAnsi="Verdana"/>
          <w:b/>
          <w:i/>
          <w:sz w:val="20"/>
        </w:rPr>
        <w:t>4</w:t>
      </w:r>
      <w:r w:rsidR="00C160B5" w:rsidRPr="00F97A0E">
        <w:rPr>
          <w:rFonts w:ascii="Verdana" w:hAnsi="Verdana"/>
          <w:i/>
          <w:sz w:val="20"/>
        </w:rPr>
        <w:t xml:space="preserve"> </w:t>
      </w:r>
      <w:r w:rsidR="00451B39" w:rsidRPr="00F97A0E">
        <w:rPr>
          <w:rFonts w:ascii="Verdana" w:hAnsi="Verdana"/>
          <w:b/>
          <w:bCs/>
          <w:i/>
          <w:snapToGrid/>
          <w:sz w:val="20"/>
          <w:lang w:eastAsia="en-AU"/>
        </w:rPr>
        <w:t xml:space="preserve">Entity concept of consolidation </w:t>
      </w:r>
      <w:r w:rsidR="00451B39" w:rsidRPr="00F97A0E">
        <w:rPr>
          <w:rFonts w:ascii="Verdana" w:hAnsi="Verdana"/>
          <w:b/>
          <w:bCs/>
          <w:i/>
          <w:iCs/>
          <w:snapToGrid/>
          <w:sz w:val="20"/>
          <w:lang w:eastAsia="en-AU"/>
        </w:rPr>
        <w:t>(Section 1.</w:t>
      </w:r>
      <w:r w:rsidR="00C8572E" w:rsidRPr="00F97A0E">
        <w:rPr>
          <w:rFonts w:ascii="Verdana" w:hAnsi="Verdana"/>
          <w:b/>
          <w:bCs/>
          <w:i/>
          <w:iCs/>
          <w:snapToGrid/>
          <w:sz w:val="20"/>
          <w:lang w:eastAsia="en-AU"/>
        </w:rPr>
        <w:t>5.6</w:t>
      </w:r>
      <w:r w:rsidR="00451B39" w:rsidRPr="00F97A0E">
        <w:rPr>
          <w:rFonts w:ascii="Verdana" w:hAnsi="Verdana"/>
          <w:b/>
          <w:bCs/>
          <w:i/>
          <w:iCs/>
          <w:snapToGrid/>
          <w:sz w:val="20"/>
          <w:lang w:eastAsia="en-AU"/>
        </w:rPr>
        <w:t>)</w:t>
      </w:r>
    </w:p>
    <w:p w:rsidR="00AA49FB" w:rsidRPr="00375DC0" w:rsidRDefault="00AA49FB" w:rsidP="0057182A">
      <w:pPr>
        <w:widowControl/>
        <w:autoSpaceDE w:val="0"/>
        <w:autoSpaceDN w:val="0"/>
        <w:adjustRightInd w:val="0"/>
        <w:ind w:firstLine="0"/>
        <w:jc w:val="left"/>
        <w:rPr>
          <w:rFonts w:ascii="Verdana" w:hAnsi="Verdana"/>
          <w:b/>
          <w:snapToGrid/>
          <w:sz w:val="20"/>
          <w:lang w:eastAsia="en-AU"/>
        </w:rPr>
      </w:pPr>
    </w:p>
    <w:p w:rsidR="0087761A" w:rsidRPr="00375DC0" w:rsidRDefault="0087761A" w:rsidP="0057182A">
      <w:pPr>
        <w:pStyle w:val="BodyText3"/>
        <w:jc w:val="left"/>
        <w:rPr>
          <w:rFonts w:ascii="Verdana" w:hAnsi="Verdana"/>
          <w:b w:val="0"/>
          <w:sz w:val="20"/>
        </w:rPr>
      </w:pPr>
      <w:r w:rsidRPr="00375DC0">
        <w:rPr>
          <w:rFonts w:ascii="Verdana" w:hAnsi="Verdana"/>
          <w:b w:val="0"/>
          <w:sz w:val="20"/>
        </w:rPr>
        <w:t xml:space="preserve">The entity concept of consolidation requires consolidated financial statements to be prepared from the perspective of the group and </w:t>
      </w:r>
      <w:r w:rsidR="004D593A" w:rsidRPr="00375DC0">
        <w:rPr>
          <w:rFonts w:ascii="Verdana" w:hAnsi="Verdana"/>
          <w:b w:val="0"/>
          <w:sz w:val="20"/>
        </w:rPr>
        <w:t xml:space="preserve">only </w:t>
      </w:r>
      <w:r w:rsidRPr="00375DC0">
        <w:rPr>
          <w:rFonts w:ascii="Verdana" w:hAnsi="Verdana"/>
          <w:b w:val="0"/>
          <w:sz w:val="20"/>
        </w:rPr>
        <w:t>includes transactions the group has undertaken with external parties.</w:t>
      </w:r>
      <w:r w:rsidR="00AA49FB" w:rsidRPr="00375DC0">
        <w:rPr>
          <w:rFonts w:ascii="Verdana" w:hAnsi="Verdana"/>
          <w:b w:val="0"/>
          <w:sz w:val="20"/>
        </w:rPr>
        <w:t xml:space="preserve"> </w:t>
      </w:r>
      <w:r w:rsidRPr="00375DC0">
        <w:rPr>
          <w:rFonts w:ascii="Verdana" w:hAnsi="Verdana"/>
          <w:b w:val="0"/>
          <w:sz w:val="20"/>
        </w:rPr>
        <w:t>Accordingly</w:t>
      </w:r>
      <w:r w:rsidR="009F4616">
        <w:rPr>
          <w:rFonts w:ascii="Verdana" w:hAnsi="Verdana"/>
          <w:b w:val="0"/>
          <w:sz w:val="20"/>
        </w:rPr>
        <w:t>,</w:t>
      </w:r>
      <w:r w:rsidRPr="00375DC0">
        <w:rPr>
          <w:rFonts w:ascii="Verdana" w:hAnsi="Verdana"/>
          <w:b w:val="0"/>
          <w:sz w:val="20"/>
        </w:rPr>
        <w:t xml:space="preserve"> it will include/exclude</w:t>
      </w:r>
      <w:r w:rsidR="004C75DF">
        <w:rPr>
          <w:rFonts w:ascii="Verdana" w:hAnsi="Verdana"/>
          <w:b w:val="0"/>
          <w:sz w:val="20"/>
        </w:rPr>
        <w:t>:</w:t>
      </w:r>
    </w:p>
    <w:p w:rsidR="0087761A" w:rsidRPr="00375DC0" w:rsidRDefault="0087761A" w:rsidP="0057182A">
      <w:pPr>
        <w:pStyle w:val="BodyText3"/>
        <w:jc w:val="left"/>
        <w:rPr>
          <w:rFonts w:ascii="Verdana" w:hAnsi="Verdana"/>
          <w:b w:val="0"/>
          <w:sz w:val="20"/>
        </w:rPr>
      </w:pPr>
    </w:p>
    <w:p w:rsidR="0087761A" w:rsidRDefault="0087761A" w:rsidP="004F0AA8">
      <w:pPr>
        <w:pStyle w:val="BodyText3"/>
        <w:numPr>
          <w:ilvl w:val="0"/>
          <w:numId w:val="49"/>
        </w:numPr>
        <w:jc w:val="left"/>
        <w:rPr>
          <w:rFonts w:ascii="Verdana" w:hAnsi="Verdana"/>
          <w:b w:val="0"/>
          <w:sz w:val="20"/>
        </w:rPr>
      </w:pPr>
      <w:r w:rsidRPr="00375DC0">
        <w:rPr>
          <w:rFonts w:ascii="Verdana" w:hAnsi="Verdana"/>
          <w:b w:val="0"/>
          <w:sz w:val="20"/>
        </w:rPr>
        <w:t xml:space="preserve">All assets and liabilities of the parent and controlled entities as these are </w:t>
      </w:r>
      <w:r w:rsidR="004D593A" w:rsidRPr="00375DC0">
        <w:rPr>
          <w:rFonts w:ascii="Verdana" w:hAnsi="Verdana"/>
          <w:b w:val="0"/>
          <w:sz w:val="20"/>
        </w:rPr>
        <w:t xml:space="preserve">assets </w:t>
      </w:r>
      <w:r w:rsidRPr="00375DC0">
        <w:rPr>
          <w:rFonts w:ascii="Verdana" w:hAnsi="Verdana"/>
          <w:b w:val="0"/>
          <w:sz w:val="20"/>
        </w:rPr>
        <w:t xml:space="preserve">controlled and </w:t>
      </w:r>
      <w:r w:rsidR="004D593A" w:rsidRPr="00375DC0">
        <w:rPr>
          <w:rFonts w:ascii="Verdana" w:hAnsi="Verdana"/>
          <w:b w:val="0"/>
          <w:sz w:val="20"/>
        </w:rPr>
        <w:t xml:space="preserve">liabilities </w:t>
      </w:r>
      <w:r w:rsidRPr="00375DC0">
        <w:rPr>
          <w:rFonts w:ascii="Verdana" w:hAnsi="Verdana"/>
          <w:b w:val="0"/>
          <w:sz w:val="20"/>
        </w:rPr>
        <w:t>incurred respectively by the group;</w:t>
      </w:r>
    </w:p>
    <w:p w:rsidR="0057595D" w:rsidRPr="00375DC0" w:rsidRDefault="0057595D" w:rsidP="0057182A">
      <w:pPr>
        <w:pStyle w:val="BodyText3"/>
        <w:ind w:left="360"/>
        <w:jc w:val="left"/>
        <w:rPr>
          <w:rFonts w:ascii="Verdana" w:hAnsi="Verdana"/>
          <w:b w:val="0"/>
          <w:sz w:val="20"/>
        </w:rPr>
      </w:pPr>
    </w:p>
    <w:p w:rsidR="0087761A" w:rsidRDefault="0087761A" w:rsidP="004F0AA8">
      <w:pPr>
        <w:pStyle w:val="BodyText3"/>
        <w:numPr>
          <w:ilvl w:val="0"/>
          <w:numId w:val="49"/>
        </w:numPr>
        <w:jc w:val="left"/>
        <w:rPr>
          <w:rFonts w:ascii="Verdana" w:hAnsi="Verdana"/>
          <w:b w:val="0"/>
          <w:sz w:val="20"/>
        </w:rPr>
      </w:pPr>
      <w:r w:rsidRPr="00375DC0">
        <w:rPr>
          <w:rFonts w:ascii="Verdana" w:hAnsi="Verdana"/>
          <w:b w:val="0"/>
          <w:sz w:val="20"/>
        </w:rPr>
        <w:t>All inter</w:t>
      </w:r>
      <w:r w:rsidR="009F4616">
        <w:rPr>
          <w:rFonts w:ascii="Verdana" w:hAnsi="Verdana"/>
          <w:b w:val="0"/>
          <w:sz w:val="20"/>
        </w:rPr>
        <w:t>-</w:t>
      </w:r>
      <w:r w:rsidRPr="00375DC0">
        <w:rPr>
          <w:rFonts w:ascii="Verdana" w:hAnsi="Verdana"/>
          <w:b w:val="0"/>
          <w:sz w:val="20"/>
        </w:rPr>
        <w:t>entity transactions are eliminated in full regardless of the level of parent entity’s ownership in controlled entities. The purpose of this is so only transactions external to the group are disclosed in the consolidate</w:t>
      </w:r>
      <w:r w:rsidR="004D593A" w:rsidRPr="00375DC0">
        <w:rPr>
          <w:rFonts w:ascii="Verdana" w:hAnsi="Verdana"/>
          <w:b w:val="0"/>
          <w:sz w:val="20"/>
        </w:rPr>
        <w:t>d</w:t>
      </w:r>
      <w:r w:rsidRPr="00375DC0">
        <w:rPr>
          <w:rFonts w:ascii="Verdana" w:hAnsi="Verdana"/>
          <w:b w:val="0"/>
          <w:sz w:val="20"/>
        </w:rPr>
        <w:t xml:space="preserve"> financial statements;</w:t>
      </w:r>
    </w:p>
    <w:p w:rsidR="0057595D" w:rsidRPr="00375DC0" w:rsidRDefault="0057595D" w:rsidP="0057182A">
      <w:pPr>
        <w:pStyle w:val="BodyText3"/>
        <w:jc w:val="left"/>
        <w:rPr>
          <w:rFonts w:ascii="Verdana" w:hAnsi="Verdana"/>
          <w:b w:val="0"/>
          <w:sz w:val="20"/>
        </w:rPr>
      </w:pPr>
    </w:p>
    <w:p w:rsidR="0057595D" w:rsidRPr="0057595D" w:rsidRDefault="00F456E9" w:rsidP="004F0AA8">
      <w:pPr>
        <w:pStyle w:val="BodyText3"/>
        <w:numPr>
          <w:ilvl w:val="0"/>
          <w:numId w:val="49"/>
        </w:numPr>
        <w:jc w:val="left"/>
        <w:rPr>
          <w:rFonts w:ascii="Verdana" w:hAnsi="Verdana"/>
          <w:b w:val="0"/>
          <w:sz w:val="20"/>
        </w:rPr>
      </w:pPr>
      <w:r w:rsidRPr="00375DC0">
        <w:rPr>
          <w:rFonts w:ascii="Verdana" w:hAnsi="Verdana"/>
          <w:b w:val="0"/>
          <w:sz w:val="20"/>
        </w:rPr>
        <w:t xml:space="preserve">Non-controlling interest </w:t>
      </w:r>
      <w:r w:rsidR="004D593A" w:rsidRPr="00375DC0">
        <w:rPr>
          <w:rFonts w:ascii="Verdana" w:hAnsi="Verdana"/>
          <w:b w:val="0"/>
          <w:sz w:val="20"/>
        </w:rPr>
        <w:t xml:space="preserve">is </w:t>
      </w:r>
      <w:r w:rsidRPr="00375DC0">
        <w:rPr>
          <w:rFonts w:ascii="Verdana" w:hAnsi="Verdana"/>
          <w:b w:val="0"/>
          <w:sz w:val="20"/>
        </w:rPr>
        <w:t>disclosed as an equity item in the consolidated financial statements as it is seen as a</w:t>
      </w:r>
      <w:r w:rsidR="004D593A" w:rsidRPr="00375DC0">
        <w:rPr>
          <w:rFonts w:ascii="Verdana" w:hAnsi="Verdana"/>
          <w:b w:val="0"/>
          <w:sz w:val="20"/>
        </w:rPr>
        <w:t>n</w:t>
      </w:r>
      <w:r w:rsidRPr="00375DC0">
        <w:rPr>
          <w:rFonts w:ascii="Verdana" w:hAnsi="Verdana"/>
          <w:b w:val="0"/>
          <w:sz w:val="20"/>
        </w:rPr>
        <w:t xml:space="preserve"> external equity resource supplier to a group; </w:t>
      </w:r>
      <w:r w:rsidRPr="00375DC0">
        <w:rPr>
          <w:rFonts w:ascii="Verdana" w:hAnsi="Verdana"/>
          <w:b w:val="0"/>
          <w:i/>
          <w:sz w:val="20"/>
        </w:rPr>
        <w:t>and</w:t>
      </w:r>
    </w:p>
    <w:p w:rsidR="0087761A" w:rsidRPr="00375DC0" w:rsidRDefault="0087761A" w:rsidP="004F0AA8">
      <w:pPr>
        <w:pStyle w:val="BodyText3"/>
        <w:ind w:firstLine="75"/>
        <w:jc w:val="left"/>
        <w:rPr>
          <w:rFonts w:ascii="Verdana" w:hAnsi="Verdana"/>
          <w:b w:val="0"/>
          <w:sz w:val="20"/>
        </w:rPr>
      </w:pPr>
    </w:p>
    <w:p w:rsidR="00F456E9" w:rsidRPr="00375DC0" w:rsidRDefault="00F456E9" w:rsidP="004F0AA8">
      <w:pPr>
        <w:pStyle w:val="BodyText3"/>
        <w:numPr>
          <w:ilvl w:val="0"/>
          <w:numId w:val="49"/>
        </w:numPr>
        <w:jc w:val="left"/>
        <w:rPr>
          <w:rFonts w:ascii="Verdana" w:hAnsi="Verdana"/>
          <w:b w:val="0"/>
          <w:sz w:val="20"/>
        </w:rPr>
      </w:pPr>
      <w:r w:rsidRPr="00375DC0">
        <w:rPr>
          <w:rFonts w:ascii="Verdana" w:hAnsi="Verdana"/>
          <w:b w:val="0"/>
          <w:sz w:val="20"/>
        </w:rPr>
        <w:t>Non-controlling interest is calculated on the contributed equity amount of a partly owned subsidiary. The contributed equity amount is not the amount recorded in the partly owned subsidiary’s single entity financial statements. It is the amount the partly owned subsidiary contributes to the group financial performance and position.</w:t>
      </w:r>
      <w:r w:rsidR="00AA49FB" w:rsidRPr="00375DC0">
        <w:rPr>
          <w:rFonts w:ascii="Verdana" w:hAnsi="Verdana"/>
          <w:b w:val="0"/>
          <w:sz w:val="20"/>
        </w:rPr>
        <w:t xml:space="preserve"> </w:t>
      </w:r>
    </w:p>
    <w:p w:rsidR="0087761A" w:rsidRPr="00375DC0" w:rsidRDefault="0087761A" w:rsidP="0057182A">
      <w:pPr>
        <w:pStyle w:val="BodyText3"/>
        <w:jc w:val="left"/>
        <w:rPr>
          <w:rFonts w:ascii="Verdana" w:hAnsi="Verdana"/>
          <w:b w:val="0"/>
          <w:sz w:val="20"/>
        </w:rPr>
      </w:pPr>
    </w:p>
    <w:p w:rsidR="00F456E9" w:rsidRPr="00B1388E" w:rsidRDefault="00F456E9" w:rsidP="0057182A">
      <w:pPr>
        <w:pStyle w:val="BodyText3"/>
        <w:jc w:val="left"/>
        <w:rPr>
          <w:rFonts w:ascii="Verdana" w:hAnsi="Verdana"/>
          <w:b w:val="0"/>
          <w:sz w:val="20"/>
        </w:rPr>
      </w:pPr>
      <w:r w:rsidRPr="00B1388E">
        <w:rPr>
          <w:rFonts w:ascii="Verdana" w:hAnsi="Verdana"/>
          <w:b w:val="0"/>
          <w:sz w:val="20"/>
        </w:rPr>
        <w:t>Points 1 (</w:t>
      </w:r>
      <w:r w:rsidR="004D593A" w:rsidRPr="00B1388E">
        <w:rPr>
          <w:rFonts w:ascii="Verdana" w:hAnsi="Verdana"/>
          <w:b w:val="0"/>
          <w:sz w:val="20"/>
        </w:rPr>
        <w:t xml:space="preserve">by </w:t>
      </w:r>
      <w:r w:rsidRPr="00B1388E">
        <w:rPr>
          <w:rFonts w:ascii="Verdana" w:hAnsi="Verdana"/>
          <w:b w:val="0"/>
          <w:sz w:val="20"/>
        </w:rPr>
        <w:t xml:space="preserve">AASB </w:t>
      </w:r>
      <w:r w:rsidR="00C8572E" w:rsidRPr="00B1388E">
        <w:rPr>
          <w:rFonts w:ascii="Verdana" w:hAnsi="Verdana"/>
          <w:b w:val="0"/>
          <w:sz w:val="20"/>
        </w:rPr>
        <w:t>10.B86(a)</w:t>
      </w:r>
      <w:r w:rsidRPr="00B1388E">
        <w:rPr>
          <w:rFonts w:ascii="Verdana" w:hAnsi="Verdana"/>
          <w:b w:val="0"/>
          <w:sz w:val="20"/>
        </w:rPr>
        <w:t>), 2 (</w:t>
      </w:r>
      <w:r w:rsidR="004D593A" w:rsidRPr="00B1388E">
        <w:rPr>
          <w:rFonts w:ascii="Verdana" w:hAnsi="Verdana"/>
          <w:b w:val="0"/>
          <w:sz w:val="20"/>
        </w:rPr>
        <w:t xml:space="preserve">by </w:t>
      </w:r>
      <w:r w:rsidRPr="00B1388E">
        <w:rPr>
          <w:rFonts w:ascii="Verdana" w:hAnsi="Verdana"/>
          <w:b w:val="0"/>
          <w:sz w:val="20"/>
        </w:rPr>
        <w:t xml:space="preserve">AASB </w:t>
      </w:r>
      <w:r w:rsidR="00C8572E" w:rsidRPr="00B1388E">
        <w:rPr>
          <w:rFonts w:ascii="Verdana" w:hAnsi="Verdana"/>
          <w:b w:val="0"/>
          <w:sz w:val="20"/>
        </w:rPr>
        <w:t>10.B86(c)</w:t>
      </w:r>
      <w:r w:rsidRPr="00B1388E">
        <w:rPr>
          <w:rFonts w:ascii="Verdana" w:hAnsi="Verdana"/>
          <w:b w:val="0"/>
          <w:sz w:val="20"/>
        </w:rPr>
        <w:t>) and 3 (</w:t>
      </w:r>
      <w:r w:rsidR="004D593A" w:rsidRPr="00B1388E">
        <w:rPr>
          <w:rFonts w:ascii="Verdana" w:hAnsi="Verdana"/>
          <w:b w:val="0"/>
          <w:sz w:val="20"/>
        </w:rPr>
        <w:t xml:space="preserve">by </w:t>
      </w:r>
      <w:r w:rsidRPr="00B1388E">
        <w:rPr>
          <w:rFonts w:ascii="Verdana" w:hAnsi="Verdana"/>
          <w:b w:val="0"/>
          <w:sz w:val="20"/>
        </w:rPr>
        <w:t xml:space="preserve">AASB </w:t>
      </w:r>
      <w:r w:rsidR="00C8572E" w:rsidRPr="00B1388E">
        <w:rPr>
          <w:rFonts w:ascii="Verdana" w:hAnsi="Verdana"/>
          <w:b w:val="0"/>
          <w:sz w:val="20"/>
        </w:rPr>
        <w:t>10.B94</w:t>
      </w:r>
      <w:r w:rsidR="004D593A" w:rsidRPr="00B1388E">
        <w:rPr>
          <w:rFonts w:ascii="Verdana" w:hAnsi="Verdana"/>
          <w:b w:val="0"/>
          <w:sz w:val="20"/>
        </w:rPr>
        <w:t>)</w:t>
      </w:r>
      <w:r w:rsidRPr="00B1388E">
        <w:rPr>
          <w:rFonts w:ascii="Verdana" w:hAnsi="Verdana"/>
          <w:b w:val="0"/>
          <w:sz w:val="20"/>
        </w:rPr>
        <w:t xml:space="preserve"> have been clearly incorporated in the provisions of AASB 127.</w:t>
      </w:r>
      <w:r w:rsidR="00AA49FB" w:rsidRPr="00B1388E">
        <w:rPr>
          <w:rFonts w:ascii="Verdana" w:hAnsi="Verdana"/>
          <w:b w:val="0"/>
          <w:sz w:val="20"/>
        </w:rPr>
        <w:t xml:space="preserve"> </w:t>
      </w:r>
      <w:r w:rsidR="00C8572E" w:rsidRPr="00B1388E">
        <w:rPr>
          <w:rFonts w:ascii="Verdana" w:hAnsi="Verdana"/>
          <w:b w:val="0"/>
          <w:sz w:val="20"/>
        </w:rPr>
        <w:t>Point 4 is implicit in AASB 10.B86(b).</w:t>
      </w:r>
    </w:p>
    <w:p w:rsidR="007216BA" w:rsidRPr="00375DC0" w:rsidRDefault="007216BA" w:rsidP="0057182A">
      <w:pPr>
        <w:pStyle w:val="BodyText3"/>
        <w:jc w:val="left"/>
        <w:rPr>
          <w:rFonts w:ascii="Verdana" w:hAnsi="Verdana"/>
          <w:sz w:val="20"/>
        </w:rPr>
      </w:pPr>
    </w:p>
    <w:p w:rsidR="0055519E" w:rsidRPr="00375DC0" w:rsidRDefault="0055519E" w:rsidP="0057182A">
      <w:pPr>
        <w:pStyle w:val="BodyText3"/>
        <w:jc w:val="left"/>
        <w:rPr>
          <w:rFonts w:ascii="Verdana" w:hAnsi="Verdana"/>
          <w:sz w:val="20"/>
        </w:rPr>
      </w:pPr>
    </w:p>
    <w:p w:rsidR="002E290D" w:rsidRPr="004F0AA8" w:rsidRDefault="0057595D" w:rsidP="0057182A">
      <w:pPr>
        <w:pStyle w:val="BodyText3"/>
        <w:jc w:val="left"/>
        <w:rPr>
          <w:rFonts w:ascii="Verdana" w:hAnsi="Verdana"/>
          <w:i/>
          <w:sz w:val="20"/>
        </w:rPr>
      </w:pPr>
      <w:r w:rsidRPr="004F0AA8">
        <w:rPr>
          <w:rFonts w:ascii="Verdana" w:hAnsi="Verdana"/>
          <w:i/>
          <w:sz w:val="20"/>
        </w:rPr>
        <w:t>Q</w:t>
      </w:r>
      <w:r w:rsidR="002E290D" w:rsidRPr="004F0AA8">
        <w:rPr>
          <w:rFonts w:ascii="Verdana" w:hAnsi="Verdana"/>
          <w:i/>
          <w:sz w:val="20"/>
        </w:rPr>
        <w:t>1.</w:t>
      </w:r>
      <w:r w:rsidR="00C160B5" w:rsidRPr="004F0AA8">
        <w:rPr>
          <w:rFonts w:ascii="Verdana" w:hAnsi="Verdana"/>
          <w:i/>
          <w:sz w:val="20"/>
        </w:rPr>
        <w:t xml:space="preserve">5 </w:t>
      </w:r>
      <w:r w:rsidR="002E290D" w:rsidRPr="004F0AA8">
        <w:rPr>
          <w:rFonts w:ascii="Verdana" w:hAnsi="Verdana"/>
          <w:i/>
          <w:sz w:val="20"/>
        </w:rPr>
        <w:t>Adoption of consolidation accounting in Australia</w:t>
      </w:r>
      <w:r w:rsidR="00451B39" w:rsidRPr="004F0AA8">
        <w:rPr>
          <w:rFonts w:ascii="Verdana" w:hAnsi="Verdana"/>
          <w:i/>
          <w:sz w:val="20"/>
        </w:rPr>
        <w:t xml:space="preserve"> </w:t>
      </w:r>
      <w:r w:rsidR="00451B39" w:rsidRPr="004C75DF">
        <w:rPr>
          <w:rFonts w:ascii="Verdana" w:hAnsi="Verdana"/>
          <w:i/>
          <w:sz w:val="20"/>
        </w:rPr>
        <w:t>(Section 1.</w:t>
      </w:r>
      <w:r w:rsidR="00A27EAD" w:rsidRPr="004C75DF">
        <w:rPr>
          <w:rFonts w:ascii="Verdana" w:hAnsi="Verdana"/>
          <w:i/>
          <w:sz w:val="20"/>
        </w:rPr>
        <w:t>5</w:t>
      </w:r>
      <w:r w:rsidR="00451B39" w:rsidRPr="004C75DF">
        <w:rPr>
          <w:rFonts w:ascii="Verdana" w:hAnsi="Verdana"/>
          <w:i/>
          <w:sz w:val="20"/>
        </w:rPr>
        <w:t>)</w:t>
      </w:r>
    </w:p>
    <w:p w:rsidR="002E290D" w:rsidRPr="00375DC0" w:rsidRDefault="002E290D" w:rsidP="0057182A">
      <w:pPr>
        <w:pStyle w:val="BodyText3"/>
        <w:jc w:val="left"/>
        <w:rPr>
          <w:rFonts w:ascii="Verdana" w:hAnsi="Verdana"/>
          <w:sz w:val="20"/>
        </w:rPr>
      </w:pPr>
    </w:p>
    <w:p w:rsidR="002E290D" w:rsidRPr="00375DC0" w:rsidRDefault="002E290D" w:rsidP="0057182A">
      <w:pPr>
        <w:ind w:firstLine="0"/>
        <w:jc w:val="left"/>
        <w:rPr>
          <w:rFonts w:ascii="Verdana" w:hAnsi="Verdana"/>
          <w:sz w:val="20"/>
        </w:rPr>
      </w:pPr>
      <w:r w:rsidRPr="00375DC0">
        <w:rPr>
          <w:rFonts w:ascii="Verdana" w:hAnsi="Verdana"/>
          <w:sz w:val="20"/>
        </w:rPr>
        <w:t xml:space="preserve">Refer to </w:t>
      </w:r>
      <w:r w:rsidR="004C75DF">
        <w:rPr>
          <w:rFonts w:ascii="Verdana" w:hAnsi="Verdana"/>
          <w:sz w:val="20"/>
        </w:rPr>
        <w:t>S</w:t>
      </w:r>
      <w:r w:rsidRPr="00375DC0">
        <w:rPr>
          <w:rFonts w:ascii="Verdana" w:hAnsi="Verdana"/>
          <w:sz w:val="20"/>
        </w:rPr>
        <w:t>ection 1.</w:t>
      </w:r>
      <w:r w:rsidR="00A27EAD" w:rsidRPr="00375DC0">
        <w:rPr>
          <w:rFonts w:ascii="Verdana" w:hAnsi="Verdana"/>
          <w:sz w:val="20"/>
        </w:rPr>
        <w:t>5</w:t>
      </w:r>
      <w:r w:rsidRPr="00375DC0">
        <w:rPr>
          <w:rFonts w:ascii="Verdana" w:hAnsi="Verdana"/>
          <w:sz w:val="20"/>
        </w:rPr>
        <w:t>.2 of the textbook and directly to the articles by Whittred (1987b) and Walker and Mack (1988) if possible.</w:t>
      </w:r>
    </w:p>
    <w:p w:rsidR="002E290D" w:rsidRPr="00375DC0" w:rsidRDefault="002E290D" w:rsidP="0057182A">
      <w:pPr>
        <w:ind w:firstLine="0"/>
        <w:jc w:val="left"/>
        <w:rPr>
          <w:rFonts w:ascii="Verdana" w:hAnsi="Verdana"/>
          <w:sz w:val="20"/>
        </w:rPr>
      </w:pPr>
    </w:p>
    <w:p w:rsidR="002E290D" w:rsidRPr="00375DC0" w:rsidRDefault="002E290D" w:rsidP="0057182A">
      <w:pPr>
        <w:pStyle w:val="Heading5"/>
        <w:widowControl w:val="0"/>
        <w:jc w:val="left"/>
        <w:rPr>
          <w:rFonts w:ascii="Verdana" w:hAnsi="Verdana"/>
          <w:snapToGrid w:val="0"/>
          <w:sz w:val="20"/>
        </w:rPr>
      </w:pPr>
      <w:r w:rsidRPr="00375DC0">
        <w:rPr>
          <w:rFonts w:ascii="Verdana" w:hAnsi="Verdana"/>
          <w:snapToGrid w:val="0"/>
          <w:sz w:val="20"/>
        </w:rPr>
        <w:t>Whittred’s argument</w:t>
      </w:r>
    </w:p>
    <w:p w:rsidR="002E290D" w:rsidRPr="00375DC0" w:rsidRDefault="002E290D" w:rsidP="0057182A">
      <w:pPr>
        <w:ind w:firstLine="0"/>
        <w:jc w:val="left"/>
        <w:rPr>
          <w:rFonts w:ascii="Verdana" w:hAnsi="Verdana"/>
          <w:sz w:val="20"/>
          <w:u w:val="single"/>
        </w:rPr>
      </w:pPr>
    </w:p>
    <w:p w:rsidR="002E290D" w:rsidRPr="00375DC0" w:rsidRDefault="002E290D" w:rsidP="0057182A">
      <w:pPr>
        <w:ind w:firstLine="0"/>
        <w:jc w:val="left"/>
        <w:rPr>
          <w:rFonts w:ascii="Verdana" w:hAnsi="Verdana"/>
          <w:sz w:val="20"/>
        </w:rPr>
      </w:pPr>
      <w:r w:rsidRPr="00375DC0">
        <w:rPr>
          <w:rFonts w:ascii="Verdana" w:hAnsi="Verdana"/>
          <w:sz w:val="20"/>
        </w:rPr>
        <w:t>Whittred argues that the emergence of an innovative debt market spurred the popularity of producing full consolidated statements because the debt covenants in loan contracts referred explicitly to the consolidated accounting numbers and ratios of all members in the corporate group that were jointly and severally liable under such contracts.</w:t>
      </w:r>
    </w:p>
    <w:p w:rsidR="002E290D" w:rsidRPr="00375DC0" w:rsidRDefault="002E290D" w:rsidP="0057182A">
      <w:pPr>
        <w:ind w:firstLine="0"/>
        <w:jc w:val="left"/>
        <w:rPr>
          <w:rFonts w:ascii="Verdana" w:hAnsi="Verdana"/>
          <w:sz w:val="20"/>
        </w:rPr>
      </w:pPr>
    </w:p>
    <w:p w:rsidR="002E290D" w:rsidRPr="00375DC0" w:rsidRDefault="002E290D" w:rsidP="0057182A">
      <w:pPr>
        <w:ind w:firstLine="0"/>
        <w:jc w:val="left"/>
        <w:rPr>
          <w:rFonts w:ascii="Verdana" w:hAnsi="Verdana"/>
          <w:sz w:val="20"/>
        </w:rPr>
      </w:pPr>
      <w:r w:rsidRPr="00375DC0">
        <w:rPr>
          <w:rFonts w:ascii="Verdana" w:hAnsi="Verdana"/>
          <w:sz w:val="20"/>
        </w:rPr>
        <w:t>The Whittred argument is that consolidated financial reporting in Australia was adopted as a mechanism to reduce agency costs. In particular,</w:t>
      </w:r>
      <w:r w:rsidR="0057595D">
        <w:rPr>
          <w:rFonts w:ascii="Verdana" w:hAnsi="Verdana"/>
          <w:sz w:val="20"/>
        </w:rPr>
        <w:t xml:space="preserve"> the agency costs of management</w:t>
      </w:r>
      <w:r w:rsidR="000F273D">
        <w:rPr>
          <w:rFonts w:ascii="Verdana" w:hAnsi="Verdana"/>
          <w:sz w:val="20"/>
        </w:rPr>
        <w:t>–</w:t>
      </w:r>
      <w:r w:rsidR="0057595D">
        <w:rPr>
          <w:rFonts w:ascii="Verdana" w:hAnsi="Verdana"/>
          <w:sz w:val="20"/>
        </w:rPr>
        <w:t xml:space="preserve">shareholding </w:t>
      </w:r>
      <w:r w:rsidRPr="00375DC0">
        <w:rPr>
          <w:rFonts w:ascii="Verdana" w:hAnsi="Verdana"/>
          <w:sz w:val="20"/>
        </w:rPr>
        <w:t>contracting and shareholder</w:t>
      </w:r>
      <w:r w:rsidR="000F273D">
        <w:rPr>
          <w:rFonts w:ascii="Verdana" w:hAnsi="Verdana"/>
          <w:sz w:val="20"/>
        </w:rPr>
        <w:t>–</w:t>
      </w:r>
      <w:r w:rsidRPr="00375DC0">
        <w:rPr>
          <w:rFonts w:ascii="Verdana" w:hAnsi="Verdana"/>
          <w:sz w:val="20"/>
        </w:rPr>
        <w:t>debtholder contracting.</w:t>
      </w:r>
    </w:p>
    <w:p w:rsidR="002E290D" w:rsidRPr="00375DC0" w:rsidRDefault="002E290D" w:rsidP="0057182A">
      <w:pPr>
        <w:ind w:firstLine="0"/>
        <w:jc w:val="left"/>
        <w:rPr>
          <w:rFonts w:ascii="Verdana" w:hAnsi="Verdana"/>
          <w:sz w:val="20"/>
        </w:rPr>
      </w:pPr>
    </w:p>
    <w:p w:rsidR="002E290D" w:rsidRPr="00375DC0" w:rsidRDefault="004C75DF" w:rsidP="0057182A">
      <w:pPr>
        <w:pStyle w:val="Heading5"/>
        <w:widowControl w:val="0"/>
        <w:jc w:val="left"/>
        <w:rPr>
          <w:rFonts w:ascii="Verdana" w:hAnsi="Verdana"/>
          <w:snapToGrid w:val="0"/>
          <w:sz w:val="20"/>
        </w:rPr>
      </w:pPr>
      <w:r>
        <w:rPr>
          <w:rFonts w:ascii="Verdana" w:hAnsi="Verdana"/>
          <w:snapToGrid w:val="0"/>
          <w:sz w:val="20"/>
        </w:rPr>
        <w:br w:type="page"/>
      </w:r>
      <w:r w:rsidR="002E290D" w:rsidRPr="00375DC0">
        <w:rPr>
          <w:rFonts w:ascii="Verdana" w:hAnsi="Verdana"/>
          <w:snapToGrid w:val="0"/>
          <w:sz w:val="20"/>
        </w:rPr>
        <w:lastRenderedPageBreak/>
        <w:t>A brief review of agency theory</w:t>
      </w:r>
    </w:p>
    <w:p w:rsidR="002E290D" w:rsidRPr="00375DC0" w:rsidRDefault="002E290D" w:rsidP="0057182A">
      <w:pPr>
        <w:ind w:firstLine="0"/>
        <w:jc w:val="left"/>
        <w:rPr>
          <w:rFonts w:ascii="Verdana" w:hAnsi="Verdana"/>
          <w:sz w:val="20"/>
          <w:u w:val="single"/>
        </w:rPr>
      </w:pPr>
    </w:p>
    <w:p w:rsidR="002E290D" w:rsidRPr="00375DC0" w:rsidRDefault="002E290D" w:rsidP="0057182A">
      <w:pPr>
        <w:ind w:firstLine="0"/>
        <w:jc w:val="left"/>
        <w:rPr>
          <w:rFonts w:ascii="Verdana" w:hAnsi="Verdana"/>
          <w:sz w:val="20"/>
        </w:rPr>
      </w:pPr>
      <w:r w:rsidRPr="00375DC0">
        <w:rPr>
          <w:rFonts w:ascii="Verdana" w:hAnsi="Verdana"/>
          <w:sz w:val="20"/>
        </w:rPr>
        <w:t>Jensen &amp; Meckling (1976) describe the agency relation as follows:</w:t>
      </w:r>
    </w:p>
    <w:p w:rsidR="002E290D" w:rsidRPr="00375DC0" w:rsidRDefault="002E290D" w:rsidP="0057182A">
      <w:pPr>
        <w:jc w:val="left"/>
        <w:rPr>
          <w:rFonts w:ascii="Verdana" w:hAnsi="Verdana"/>
          <w:sz w:val="20"/>
        </w:rPr>
      </w:pPr>
    </w:p>
    <w:p w:rsidR="002E290D" w:rsidRPr="00375DC0" w:rsidRDefault="002E290D" w:rsidP="0057182A">
      <w:pPr>
        <w:ind w:left="284" w:firstLine="0"/>
        <w:jc w:val="left"/>
        <w:rPr>
          <w:rFonts w:ascii="Verdana" w:hAnsi="Verdana"/>
          <w:i/>
          <w:sz w:val="20"/>
        </w:rPr>
      </w:pPr>
      <w:r w:rsidRPr="00375DC0">
        <w:rPr>
          <w:rFonts w:ascii="Verdana" w:hAnsi="Verdana"/>
          <w:i/>
          <w:sz w:val="20"/>
        </w:rPr>
        <w:t>a contract under which one or more persons (‘principal’) engage another person (‘agent’) to perform some service on their behalf which involves delegating some decision</w:t>
      </w:r>
      <w:r w:rsidRPr="00375DC0">
        <w:rPr>
          <w:rFonts w:ascii="Verdana" w:hAnsi="Verdana"/>
          <w:i/>
          <w:sz w:val="20"/>
        </w:rPr>
        <w:noBreakHyphen/>
        <w:t>making power to the agent</w:t>
      </w:r>
    </w:p>
    <w:p w:rsidR="002E290D" w:rsidRPr="00375DC0" w:rsidRDefault="002E290D" w:rsidP="0057182A">
      <w:pPr>
        <w:pStyle w:val="CommentText"/>
        <w:jc w:val="left"/>
        <w:rPr>
          <w:rFonts w:ascii="Verdana" w:hAnsi="Verdana"/>
          <w:sz w:val="20"/>
        </w:rPr>
      </w:pPr>
    </w:p>
    <w:p w:rsidR="002E290D" w:rsidRPr="00375DC0" w:rsidRDefault="002E290D" w:rsidP="0057182A">
      <w:pPr>
        <w:ind w:firstLine="0"/>
        <w:jc w:val="left"/>
        <w:rPr>
          <w:rFonts w:ascii="Verdana" w:hAnsi="Verdana"/>
          <w:sz w:val="20"/>
        </w:rPr>
      </w:pPr>
      <w:r w:rsidRPr="00375DC0">
        <w:rPr>
          <w:rFonts w:ascii="Verdana" w:hAnsi="Verdana"/>
          <w:sz w:val="20"/>
        </w:rPr>
        <w:t>The principals and the agent in a</w:t>
      </w:r>
      <w:r w:rsidR="00451B39" w:rsidRPr="00375DC0">
        <w:rPr>
          <w:rFonts w:ascii="Verdana" w:hAnsi="Verdana"/>
          <w:sz w:val="20"/>
        </w:rPr>
        <w:t>n</w:t>
      </w:r>
      <w:r w:rsidRPr="00375DC0">
        <w:rPr>
          <w:rFonts w:ascii="Verdana" w:hAnsi="Verdana"/>
          <w:sz w:val="20"/>
        </w:rPr>
        <w:t xml:space="preserve"> </w:t>
      </w:r>
      <w:r w:rsidR="00451B39" w:rsidRPr="00375DC0">
        <w:rPr>
          <w:rFonts w:ascii="Verdana" w:hAnsi="Verdana"/>
          <w:sz w:val="20"/>
        </w:rPr>
        <w:t xml:space="preserve">entity </w:t>
      </w:r>
      <w:r w:rsidRPr="00375DC0">
        <w:rPr>
          <w:rFonts w:ascii="Verdana" w:hAnsi="Verdana"/>
          <w:sz w:val="20"/>
        </w:rPr>
        <w:t>setting are as follows:</w:t>
      </w:r>
    </w:p>
    <w:p w:rsidR="002E290D" w:rsidRPr="004F0AA8" w:rsidRDefault="002E290D" w:rsidP="004F0AA8">
      <w:pPr>
        <w:pStyle w:val="EOCtext"/>
        <w:numPr>
          <w:ilvl w:val="0"/>
          <w:numId w:val="62"/>
        </w:numPr>
        <w:rPr>
          <w:rFonts w:ascii="Verdana" w:hAnsi="Verdana" w:cs="Times New Roman"/>
          <w:color w:val="auto"/>
          <w:lang w:val="en-AU"/>
        </w:rPr>
      </w:pPr>
      <w:r w:rsidRPr="004F0AA8">
        <w:rPr>
          <w:rFonts w:ascii="Verdana" w:hAnsi="Verdana" w:cs="Times New Roman"/>
          <w:color w:val="auto"/>
          <w:lang w:val="en-AU"/>
        </w:rPr>
        <w:t>Principal</w:t>
      </w:r>
      <w:r w:rsidR="00AA49FB" w:rsidRPr="004F0AA8">
        <w:rPr>
          <w:rFonts w:ascii="Verdana" w:hAnsi="Verdana" w:cs="Times New Roman"/>
          <w:color w:val="auto"/>
          <w:lang w:val="en-AU"/>
        </w:rPr>
        <w:t xml:space="preserve"> </w:t>
      </w:r>
      <w:r w:rsidRPr="004F0AA8">
        <w:rPr>
          <w:rFonts w:ascii="Verdana" w:hAnsi="Verdana" w:cs="Times New Roman"/>
          <w:color w:val="auto"/>
          <w:lang w:val="en-AU"/>
        </w:rPr>
        <w:t>=</w:t>
      </w:r>
      <w:r w:rsidR="00AA49FB" w:rsidRPr="004F0AA8">
        <w:rPr>
          <w:rFonts w:ascii="Verdana" w:hAnsi="Verdana" w:cs="Times New Roman"/>
          <w:color w:val="auto"/>
          <w:lang w:val="en-AU"/>
        </w:rPr>
        <w:t xml:space="preserve"> </w:t>
      </w:r>
      <w:r w:rsidRPr="004F0AA8">
        <w:rPr>
          <w:rFonts w:ascii="Verdana" w:hAnsi="Verdana" w:cs="Times New Roman"/>
          <w:color w:val="auto"/>
          <w:lang w:val="en-AU"/>
        </w:rPr>
        <w:t xml:space="preserve">the shareholders and debtholders of the </w:t>
      </w:r>
      <w:r w:rsidR="00451B39" w:rsidRPr="004F0AA8">
        <w:rPr>
          <w:rFonts w:ascii="Verdana" w:hAnsi="Verdana" w:cs="Times New Roman"/>
          <w:color w:val="auto"/>
          <w:lang w:val="en-AU"/>
        </w:rPr>
        <w:t>entity</w:t>
      </w:r>
    </w:p>
    <w:p w:rsidR="002E290D" w:rsidRPr="004F0AA8" w:rsidRDefault="002E290D" w:rsidP="004F0AA8">
      <w:pPr>
        <w:pStyle w:val="EOCtext"/>
        <w:numPr>
          <w:ilvl w:val="0"/>
          <w:numId w:val="62"/>
        </w:numPr>
        <w:rPr>
          <w:rFonts w:ascii="Verdana" w:hAnsi="Verdana" w:cs="Times New Roman"/>
          <w:color w:val="auto"/>
          <w:lang w:val="en-AU"/>
        </w:rPr>
      </w:pPr>
      <w:r w:rsidRPr="004F0AA8">
        <w:rPr>
          <w:rFonts w:ascii="Verdana" w:hAnsi="Verdana" w:cs="Times New Roman"/>
          <w:color w:val="auto"/>
          <w:lang w:val="en-AU"/>
        </w:rPr>
        <w:t>Agent</w:t>
      </w:r>
      <w:r w:rsidR="00AA49FB" w:rsidRPr="004F0AA8">
        <w:rPr>
          <w:rFonts w:ascii="Verdana" w:hAnsi="Verdana" w:cs="Times New Roman"/>
          <w:color w:val="auto"/>
          <w:lang w:val="en-AU"/>
        </w:rPr>
        <w:t xml:space="preserve"> </w:t>
      </w:r>
      <w:r w:rsidRPr="004F0AA8">
        <w:rPr>
          <w:rFonts w:ascii="Verdana" w:hAnsi="Verdana" w:cs="Times New Roman"/>
          <w:color w:val="auto"/>
          <w:lang w:val="en-AU"/>
        </w:rPr>
        <w:t>=</w:t>
      </w:r>
      <w:r w:rsidR="00AA49FB" w:rsidRPr="004F0AA8">
        <w:rPr>
          <w:rFonts w:ascii="Verdana" w:hAnsi="Verdana" w:cs="Times New Roman"/>
          <w:color w:val="auto"/>
          <w:lang w:val="en-AU"/>
        </w:rPr>
        <w:t xml:space="preserve"> </w:t>
      </w:r>
      <w:r w:rsidRPr="004F0AA8">
        <w:rPr>
          <w:rFonts w:ascii="Verdana" w:hAnsi="Verdana" w:cs="Times New Roman"/>
          <w:color w:val="auto"/>
          <w:lang w:val="en-AU"/>
        </w:rPr>
        <w:t>management</w:t>
      </w:r>
      <w:r w:rsidR="004C75DF" w:rsidRPr="004F0AA8">
        <w:rPr>
          <w:rFonts w:ascii="Verdana" w:hAnsi="Verdana" w:cs="Times New Roman"/>
          <w:color w:val="auto"/>
          <w:lang w:val="en-AU"/>
        </w:rPr>
        <w:t>.</w:t>
      </w:r>
    </w:p>
    <w:p w:rsidR="002E290D" w:rsidRPr="00375DC0" w:rsidRDefault="002E290D" w:rsidP="0057182A">
      <w:pPr>
        <w:tabs>
          <w:tab w:val="left" w:pos="50"/>
          <w:tab w:val="left" w:pos="1689"/>
          <w:tab w:val="left" w:pos="2277"/>
        </w:tabs>
        <w:jc w:val="left"/>
        <w:rPr>
          <w:rFonts w:ascii="Verdana" w:hAnsi="Verdana"/>
          <w:sz w:val="20"/>
        </w:rPr>
      </w:pPr>
    </w:p>
    <w:p w:rsidR="002E290D" w:rsidRPr="00375DC0" w:rsidRDefault="002E290D" w:rsidP="0057182A">
      <w:pPr>
        <w:ind w:firstLine="0"/>
        <w:jc w:val="left"/>
        <w:rPr>
          <w:rFonts w:ascii="Verdana" w:hAnsi="Verdana"/>
          <w:sz w:val="20"/>
        </w:rPr>
      </w:pPr>
      <w:r w:rsidRPr="00375DC0">
        <w:rPr>
          <w:rFonts w:ascii="Verdana" w:hAnsi="Verdana"/>
          <w:sz w:val="20"/>
        </w:rPr>
        <w:t xml:space="preserve">In agency theory, all individuals are assumed to choose actions that maximise their own personal welfare. A problem arises when the interests of the principal and agent do not coincide. The agent may act in its self-interest rather than in the best interests of the principal. Assuming rational expectations, shareholders and bondholders anticipate this divergence and reduce the price they are willing to pay for the </w:t>
      </w:r>
      <w:r w:rsidR="00451B39" w:rsidRPr="00375DC0">
        <w:rPr>
          <w:rFonts w:ascii="Verdana" w:hAnsi="Verdana"/>
          <w:sz w:val="20"/>
        </w:rPr>
        <w:t>entity’s</w:t>
      </w:r>
      <w:r w:rsidRPr="00375DC0">
        <w:rPr>
          <w:rFonts w:ascii="Verdana" w:hAnsi="Verdana"/>
          <w:sz w:val="20"/>
        </w:rPr>
        <w:t xml:space="preserve"> shares or bonds (debentures). This decrease in market </w:t>
      </w:r>
      <w:r w:rsidR="006328EF" w:rsidRPr="00375DC0">
        <w:rPr>
          <w:rFonts w:ascii="Verdana" w:hAnsi="Verdana"/>
          <w:sz w:val="20"/>
        </w:rPr>
        <w:t xml:space="preserve">value is known as the ‘residual </w:t>
      </w:r>
      <w:r w:rsidRPr="00375DC0">
        <w:rPr>
          <w:rFonts w:ascii="Verdana" w:hAnsi="Verdana"/>
          <w:sz w:val="20"/>
        </w:rPr>
        <w:t>loss’.</w:t>
      </w:r>
    </w:p>
    <w:p w:rsidR="002E290D" w:rsidRPr="00375DC0" w:rsidRDefault="002E290D" w:rsidP="0057182A">
      <w:pPr>
        <w:jc w:val="left"/>
        <w:rPr>
          <w:rFonts w:ascii="Verdana" w:hAnsi="Verdana"/>
          <w:sz w:val="20"/>
        </w:rPr>
      </w:pPr>
    </w:p>
    <w:p w:rsidR="002E290D" w:rsidRPr="00375DC0" w:rsidRDefault="002E290D" w:rsidP="0057182A">
      <w:pPr>
        <w:ind w:firstLine="0"/>
        <w:jc w:val="left"/>
        <w:rPr>
          <w:rFonts w:ascii="Verdana" w:hAnsi="Verdana"/>
          <w:sz w:val="20"/>
        </w:rPr>
      </w:pPr>
      <w:r w:rsidRPr="00375DC0">
        <w:rPr>
          <w:rFonts w:ascii="Verdana" w:hAnsi="Verdana"/>
          <w:sz w:val="20"/>
        </w:rPr>
        <w:t>To reduce the residual loss, monitoring and bonding contracts are written.</w:t>
      </w:r>
    </w:p>
    <w:p w:rsidR="002E290D" w:rsidRPr="00375DC0" w:rsidRDefault="002E290D" w:rsidP="0057182A">
      <w:pPr>
        <w:jc w:val="left"/>
        <w:rPr>
          <w:rFonts w:ascii="Verdana" w:hAnsi="Verdana"/>
          <w:sz w:val="20"/>
        </w:rPr>
      </w:pPr>
    </w:p>
    <w:p w:rsidR="002E290D" w:rsidRPr="00375DC0" w:rsidRDefault="002E290D" w:rsidP="0057182A">
      <w:pPr>
        <w:ind w:firstLine="0"/>
        <w:jc w:val="left"/>
        <w:rPr>
          <w:rFonts w:ascii="Verdana" w:hAnsi="Verdana"/>
          <w:sz w:val="20"/>
        </w:rPr>
      </w:pPr>
      <w:r w:rsidRPr="00375DC0">
        <w:rPr>
          <w:rFonts w:ascii="Verdana" w:hAnsi="Verdana"/>
          <w:sz w:val="20"/>
        </w:rPr>
        <w:t xml:space="preserve">Monitoring contracts go further than observing behaviour via audited financial reports, and include direct incentives for the agent to act in the principal's best interest; </w:t>
      </w:r>
      <w:r w:rsidR="004C75DF">
        <w:rPr>
          <w:rFonts w:ascii="Verdana" w:hAnsi="Verdana"/>
          <w:sz w:val="20"/>
        </w:rPr>
        <w:t xml:space="preserve">for example, </w:t>
      </w:r>
      <w:r w:rsidRPr="00375DC0">
        <w:rPr>
          <w:rFonts w:ascii="Verdana" w:hAnsi="Verdana"/>
          <w:sz w:val="20"/>
        </w:rPr>
        <w:t xml:space="preserve">management compensation plans where management's wealth is a function of salary, </w:t>
      </w:r>
      <w:r w:rsidR="004C75DF">
        <w:rPr>
          <w:rFonts w:ascii="Verdana" w:hAnsi="Verdana"/>
          <w:sz w:val="20"/>
        </w:rPr>
        <w:t xml:space="preserve">with </w:t>
      </w:r>
      <w:r w:rsidRPr="00375DC0">
        <w:rPr>
          <w:rFonts w:ascii="Verdana" w:hAnsi="Verdana"/>
          <w:sz w:val="20"/>
        </w:rPr>
        <w:t>bonuses based on reported profit and stock options.</w:t>
      </w:r>
    </w:p>
    <w:p w:rsidR="002E290D" w:rsidRPr="00375DC0" w:rsidRDefault="002E290D" w:rsidP="0057182A">
      <w:pPr>
        <w:jc w:val="left"/>
        <w:rPr>
          <w:rFonts w:ascii="Verdana" w:hAnsi="Verdana"/>
          <w:sz w:val="20"/>
        </w:rPr>
      </w:pPr>
    </w:p>
    <w:p w:rsidR="002E290D" w:rsidRPr="00375DC0" w:rsidRDefault="002E290D" w:rsidP="0057182A">
      <w:pPr>
        <w:ind w:firstLine="0"/>
        <w:jc w:val="left"/>
        <w:rPr>
          <w:rFonts w:ascii="Verdana" w:hAnsi="Verdana"/>
          <w:sz w:val="20"/>
        </w:rPr>
      </w:pPr>
      <w:r w:rsidRPr="00375DC0">
        <w:rPr>
          <w:rFonts w:ascii="Verdana" w:hAnsi="Verdana"/>
          <w:sz w:val="20"/>
        </w:rPr>
        <w:t>The agent may also contract to ensure that the principal's best interests will not be harmed and provide for retribution if they are harmed</w:t>
      </w:r>
      <w:r w:rsidR="004C75DF">
        <w:rPr>
          <w:rFonts w:ascii="Verdana" w:hAnsi="Verdana"/>
          <w:sz w:val="20"/>
        </w:rPr>
        <w:t xml:space="preserve"> (</w:t>
      </w:r>
      <w:r w:rsidRPr="00375DC0">
        <w:rPr>
          <w:rFonts w:ascii="Verdana" w:hAnsi="Verdana"/>
          <w:sz w:val="20"/>
        </w:rPr>
        <w:t>i.e.</w:t>
      </w:r>
      <w:r w:rsidR="004C75DF">
        <w:rPr>
          <w:rFonts w:ascii="Verdana" w:hAnsi="Verdana"/>
          <w:sz w:val="20"/>
        </w:rPr>
        <w:t>,</w:t>
      </w:r>
      <w:r w:rsidRPr="00375DC0">
        <w:rPr>
          <w:rFonts w:ascii="Verdana" w:hAnsi="Verdana"/>
          <w:sz w:val="20"/>
        </w:rPr>
        <w:t xml:space="preserve"> the agent places ‘bonds’ on its own behaviour</w:t>
      </w:r>
      <w:r w:rsidR="004C75DF">
        <w:rPr>
          <w:rFonts w:ascii="Verdana" w:hAnsi="Verdana"/>
          <w:sz w:val="20"/>
        </w:rPr>
        <w:t>)</w:t>
      </w:r>
      <w:r w:rsidRPr="00375DC0">
        <w:rPr>
          <w:rFonts w:ascii="Verdana" w:hAnsi="Verdana"/>
          <w:sz w:val="20"/>
        </w:rPr>
        <w:t>. For example, management may write a bonding agreement, which reduces its ability to harm bond or debtholders.</w:t>
      </w:r>
    </w:p>
    <w:p w:rsidR="002E290D" w:rsidRPr="00375DC0" w:rsidRDefault="002E290D" w:rsidP="0057182A">
      <w:pPr>
        <w:ind w:firstLine="0"/>
        <w:jc w:val="left"/>
        <w:rPr>
          <w:rFonts w:ascii="Verdana" w:hAnsi="Verdana"/>
          <w:sz w:val="20"/>
        </w:rPr>
      </w:pPr>
    </w:p>
    <w:p w:rsidR="002E290D" w:rsidRPr="00375DC0" w:rsidRDefault="002E290D" w:rsidP="0057182A">
      <w:pPr>
        <w:ind w:firstLine="0"/>
        <w:jc w:val="left"/>
        <w:rPr>
          <w:rFonts w:ascii="Verdana" w:hAnsi="Verdana"/>
          <w:sz w:val="20"/>
        </w:rPr>
      </w:pPr>
      <w:r w:rsidRPr="00375DC0">
        <w:rPr>
          <w:rFonts w:ascii="Verdana" w:hAnsi="Verdana"/>
          <w:sz w:val="20"/>
        </w:rPr>
        <w:t>The important point to note here is that there is an incentive for management and shareholders</w:t>
      </w:r>
      <w:r w:rsidR="000F273D">
        <w:rPr>
          <w:rFonts w:ascii="Verdana" w:hAnsi="Verdana"/>
          <w:sz w:val="20"/>
        </w:rPr>
        <w:t>–</w:t>
      </w:r>
      <w:r w:rsidRPr="00375DC0">
        <w:rPr>
          <w:rFonts w:ascii="Verdana" w:hAnsi="Verdana"/>
          <w:sz w:val="20"/>
        </w:rPr>
        <w:t>debtholders to enter into contracts in order to reduce the residual loss of the agency relationship and these contracts typically have covenants that are based on accounting information.</w:t>
      </w:r>
      <w:r w:rsidR="00AA49FB" w:rsidRPr="00375DC0">
        <w:rPr>
          <w:rFonts w:ascii="Verdana" w:hAnsi="Verdana"/>
          <w:sz w:val="20"/>
        </w:rPr>
        <w:t xml:space="preserve"> </w:t>
      </w:r>
      <w:r w:rsidRPr="00375DC0">
        <w:rPr>
          <w:rFonts w:ascii="Verdana" w:hAnsi="Verdana"/>
          <w:sz w:val="20"/>
        </w:rPr>
        <w:t xml:space="preserve">The costs of these contracts (including the procurement of relevant accounting information) will be borne while there is benefit to </w:t>
      </w:r>
      <w:r w:rsidR="00451B39" w:rsidRPr="00375DC0">
        <w:rPr>
          <w:rFonts w:ascii="Verdana" w:hAnsi="Verdana"/>
          <w:sz w:val="20"/>
        </w:rPr>
        <w:t xml:space="preserve">entity </w:t>
      </w:r>
      <w:r w:rsidRPr="00375DC0">
        <w:rPr>
          <w:rFonts w:ascii="Verdana" w:hAnsi="Verdana"/>
          <w:sz w:val="20"/>
        </w:rPr>
        <w:t>value at the margin.</w:t>
      </w:r>
    </w:p>
    <w:p w:rsidR="002E290D" w:rsidRPr="00375DC0" w:rsidRDefault="002E290D" w:rsidP="0057182A">
      <w:pPr>
        <w:tabs>
          <w:tab w:val="left" w:pos="1890"/>
          <w:tab w:val="left" w:pos="1980"/>
        </w:tabs>
        <w:jc w:val="left"/>
        <w:rPr>
          <w:rFonts w:ascii="Verdana" w:hAnsi="Verdana"/>
          <w:sz w:val="20"/>
        </w:rPr>
      </w:pPr>
    </w:p>
    <w:p w:rsidR="002E290D" w:rsidRPr="00375DC0" w:rsidRDefault="002E290D" w:rsidP="0057182A">
      <w:pPr>
        <w:ind w:firstLine="0"/>
        <w:jc w:val="left"/>
        <w:rPr>
          <w:rFonts w:ascii="Verdana" w:hAnsi="Verdana"/>
          <w:sz w:val="20"/>
        </w:rPr>
      </w:pPr>
      <w:r w:rsidRPr="00375DC0">
        <w:rPr>
          <w:rFonts w:ascii="Verdana" w:hAnsi="Verdana"/>
          <w:sz w:val="20"/>
        </w:rPr>
        <w:t>In particular, debt covenants that reduce agency costs by tying together the interests of managers</w:t>
      </w:r>
      <w:r w:rsidR="000F273D">
        <w:rPr>
          <w:rFonts w:ascii="Verdana" w:hAnsi="Verdana"/>
          <w:sz w:val="20"/>
        </w:rPr>
        <w:t>–</w:t>
      </w:r>
      <w:r w:rsidRPr="00375DC0">
        <w:rPr>
          <w:rFonts w:ascii="Verdana" w:hAnsi="Verdana"/>
          <w:sz w:val="20"/>
        </w:rPr>
        <w:t>shareholders and creditors often include:</w:t>
      </w:r>
    </w:p>
    <w:p w:rsidR="0057595D" w:rsidRDefault="004C75DF" w:rsidP="004F0AA8">
      <w:pPr>
        <w:numPr>
          <w:ilvl w:val="0"/>
          <w:numId w:val="50"/>
        </w:numPr>
        <w:ind w:left="360"/>
        <w:jc w:val="left"/>
        <w:rPr>
          <w:rFonts w:ascii="Verdana" w:hAnsi="Verdana"/>
          <w:sz w:val="20"/>
        </w:rPr>
      </w:pPr>
      <w:r>
        <w:rPr>
          <w:rFonts w:ascii="Verdana" w:hAnsi="Verdana"/>
          <w:sz w:val="20"/>
        </w:rPr>
        <w:t>C</w:t>
      </w:r>
      <w:r w:rsidRPr="00375DC0">
        <w:rPr>
          <w:rFonts w:ascii="Verdana" w:hAnsi="Verdana"/>
          <w:sz w:val="20"/>
        </w:rPr>
        <w:t xml:space="preserve">ovenants </w:t>
      </w:r>
      <w:r w:rsidR="002E290D" w:rsidRPr="00375DC0">
        <w:rPr>
          <w:rFonts w:ascii="Verdana" w:hAnsi="Verdana"/>
          <w:sz w:val="20"/>
        </w:rPr>
        <w:t>to restrict the production-investment opportunities of the firm;</w:t>
      </w:r>
    </w:p>
    <w:p w:rsidR="0057595D" w:rsidRDefault="004C75DF" w:rsidP="004F0AA8">
      <w:pPr>
        <w:numPr>
          <w:ilvl w:val="0"/>
          <w:numId w:val="50"/>
        </w:numPr>
        <w:ind w:left="360"/>
        <w:jc w:val="left"/>
        <w:rPr>
          <w:rFonts w:ascii="Verdana" w:hAnsi="Verdana"/>
          <w:sz w:val="20"/>
        </w:rPr>
      </w:pPr>
      <w:r>
        <w:rPr>
          <w:rFonts w:ascii="Verdana" w:hAnsi="Verdana"/>
          <w:sz w:val="20"/>
        </w:rPr>
        <w:t>C</w:t>
      </w:r>
      <w:r w:rsidR="002E290D" w:rsidRPr="0057595D">
        <w:rPr>
          <w:rFonts w:ascii="Verdana" w:hAnsi="Verdana"/>
          <w:sz w:val="20"/>
        </w:rPr>
        <w:t>ovenants restricting dividend policy to a function of net profit;</w:t>
      </w:r>
    </w:p>
    <w:p w:rsidR="0057595D" w:rsidRDefault="004C75DF" w:rsidP="004F0AA8">
      <w:pPr>
        <w:numPr>
          <w:ilvl w:val="0"/>
          <w:numId w:val="50"/>
        </w:numPr>
        <w:ind w:left="360"/>
        <w:jc w:val="left"/>
        <w:rPr>
          <w:rFonts w:ascii="Verdana" w:hAnsi="Verdana"/>
          <w:sz w:val="20"/>
        </w:rPr>
      </w:pPr>
      <w:r>
        <w:rPr>
          <w:rFonts w:ascii="Verdana" w:hAnsi="Verdana"/>
          <w:sz w:val="20"/>
        </w:rPr>
        <w:t>C</w:t>
      </w:r>
      <w:r w:rsidR="002E290D" w:rsidRPr="0057595D">
        <w:rPr>
          <w:rFonts w:ascii="Verdana" w:hAnsi="Verdana"/>
          <w:sz w:val="20"/>
        </w:rPr>
        <w:t>ovenants restraining financing policy, usually expressed as gearing ratios such as debt/assets and interest cover; and</w:t>
      </w:r>
    </w:p>
    <w:p w:rsidR="002E290D" w:rsidRPr="0057595D" w:rsidRDefault="004C75DF" w:rsidP="004F0AA8">
      <w:pPr>
        <w:numPr>
          <w:ilvl w:val="0"/>
          <w:numId w:val="50"/>
        </w:numPr>
        <w:ind w:left="360"/>
        <w:jc w:val="left"/>
        <w:rPr>
          <w:rFonts w:ascii="Verdana" w:hAnsi="Verdana"/>
          <w:sz w:val="20"/>
        </w:rPr>
      </w:pPr>
      <w:r>
        <w:rPr>
          <w:rFonts w:ascii="Verdana" w:hAnsi="Verdana"/>
          <w:sz w:val="20"/>
        </w:rPr>
        <w:t>C</w:t>
      </w:r>
      <w:r w:rsidR="002E290D" w:rsidRPr="0057595D">
        <w:rPr>
          <w:rFonts w:ascii="Verdana" w:hAnsi="Verdana"/>
          <w:sz w:val="20"/>
        </w:rPr>
        <w:t>ovenants for increased financial disclosures.</w:t>
      </w:r>
    </w:p>
    <w:p w:rsidR="00D67B6C" w:rsidRDefault="00D67B6C" w:rsidP="0057182A">
      <w:pPr>
        <w:pStyle w:val="Heading5"/>
        <w:widowControl w:val="0"/>
        <w:jc w:val="left"/>
        <w:rPr>
          <w:rFonts w:ascii="Verdana" w:hAnsi="Verdana"/>
          <w:snapToGrid w:val="0"/>
          <w:sz w:val="20"/>
        </w:rPr>
      </w:pPr>
    </w:p>
    <w:p w:rsidR="002E290D" w:rsidRPr="00375DC0" w:rsidRDefault="002E290D" w:rsidP="0057182A">
      <w:pPr>
        <w:pStyle w:val="Heading5"/>
        <w:widowControl w:val="0"/>
        <w:jc w:val="left"/>
        <w:rPr>
          <w:rFonts w:ascii="Verdana" w:hAnsi="Verdana"/>
          <w:snapToGrid w:val="0"/>
          <w:sz w:val="20"/>
        </w:rPr>
      </w:pPr>
      <w:r w:rsidRPr="00375DC0">
        <w:rPr>
          <w:rFonts w:ascii="Verdana" w:hAnsi="Verdana"/>
          <w:snapToGrid w:val="0"/>
          <w:sz w:val="20"/>
        </w:rPr>
        <w:t>Walker and Mack’s argument</w:t>
      </w:r>
    </w:p>
    <w:p w:rsidR="002E290D" w:rsidRPr="00375DC0" w:rsidRDefault="002E290D" w:rsidP="0057182A">
      <w:pPr>
        <w:ind w:firstLine="0"/>
        <w:jc w:val="left"/>
        <w:rPr>
          <w:rFonts w:ascii="Verdana" w:hAnsi="Verdana"/>
          <w:sz w:val="20"/>
        </w:rPr>
      </w:pPr>
    </w:p>
    <w:p w:rsidR="002E290D" w:rsidRPr="00375DC0" w:rsidRDefault="002E290D" w:rsidP="0057182A">
      <w:pPr>
        <w:ind w:firstLine="0"/>
        <w:jc w:val="left"/>
        <w:rPr>
          <w:rFonts w:ascii="Verdana" w:hAnsi="Verdana"/>
          <w:sz w:val="20"/>
        </w:rPr>
      </w:pPr>
      <w:r w:rsidRPr="00375DC0">
        <w:rPr>
          <w:rFonts w:ascii="Verdana" w:hAnsi="Verdana"/>
          <w:sz w:val="20"/>
        </w:rPr>
        <w:t xml:space="preserve">Walker and Mack argue that regulatory factors rather than ‘agency theory’ explain the emergence of consolidated financial reporting by Australian </w:t>
      </w:r>
      <w:r w:rsidR="00451B39" w:rsidRPr="00375DC0">
        <w:rPr>
          <w:rFonts w:ascii="Verdana" w:hAnsi="Verdana"/>
          <w:sz w:val="20"/>
        </w:rPr>
        <w:t>entities</w:t>
      </w:r>
      <w:r w:rsidRPr="00375DC0">
        <w:rPr>
          <w:rFonts w:ascii="Verdana" w:hAnsi="Verdana"/>
          <w:sz w:val="20"/>
        </w:rPr>
        <w:t>.</w:t>
      </w:r>
      <w:r w:rsidR="00AA49FB" w:rsidRPr="00375DC0">
        <w:rPr>
          <w:rFonts w:ascii="Verdana" w:hAnsi="Verdana"/>
          <w:sz w:val="20"/>
        </w:rPr>
        <w:t xml:space="preserve"> </w:t>
      </w:r>
      <w:r w:rsidRPr="00375DC0">
        <w:rPr>
          <w:rFonts w:ascii="Verdana" w:hAnsi="Verdana"/>
          <w:sz w:val="20"/>
        </w:rPr>
        <w:t xml:space="preserve">The evidence in Walker and Mack is suggestive of a progressive strengthening of the reporting requirements that apply to </w:t>
      </w:r>
      <w:r w:rsidR="00E97BB0" w:rsidRPr="00375DC0">
        <w:rPr>
          <w:rFonts w:ascii="Verdana" w:hAnsi="Verdana"/>
          <w:sz w:val="20"/>
        </w:rPr>
        <w:t xml:space="preserve">parent </w:t>
      </w:r>
      <w:r w:rsidR="00451B39" w:rsidRPr="00375DC0">
        <w:rPr>
          <w:rFonts w:ascii="Verdana" w:hAnsi="Verdana"/>
          <w:sz w:val="20"/>
        </w:rPr>
        <w:t>entities</w:t>
      </w:r>
      <w:r w:rsidRPr="00375DC0">
        <w:rPr>
          <w:rFonts w:ascii="Verdana" w:hAnsi="Verdana"/>
          <w:sz w:val="20"/>
        </w:rPr>
        <w:t xml:space="preserve"> in Australia.</w:t>
      </w:r>
      <w:r w:rsidR="00AA49FB" w:rsidRPr="00375DC0">
        <w:rPr>
          <w:rFonts w:ascii="Verdana" w:hAnsi="Verdana"/>
          <w:sz w:val="20"/>
        </w:rPr>
        <w:t xml:space="preserve"> </w:t>
      </w:r>
      <w:r w:rsidRPr="00375DC0">
        <w:rPr>
          <w:rFonts w:ascii="Verdana" w:hAnsi="Verdana"/>
          <w:sz w:val="20"/>
        </w:rPr>
        <w:t>The existence of institutional, regulatory and economic changes during the period prior to formal consolidation requirements makes it difficult to determine the relative importance of the factors that contributed to the development of these requirements.</w:t>
      </w:r>
    </w:p>
    <w:p w:rsidR="002E290D" w:rsidRPr="00375DC0" w:rsidRDefault="002E290D" w:rsidP="0057182A">
      <w:pPr>
        <w:ind w:firstLine="0"/>
        <w:jc w:val="left"/>
        <w:rPr>
          <w:rFonts w:ascii="Verdana" w:hAnsi="Verdana"/>
          <w:sz w:val="20"/>
        </w:rPr>
      </w:pPr>
    </w:p>
    <w:p w:rsidR="002E290D" w:rsidRPr="00375DC0" w:rsidRDefault="002E290D" w:rsidP="0057182A">
      <w:pPr>
        <w:ind w:firstLine="0"/>
        <w:jc w:val="left"/>
        <w:rPr>
          <w:rFonts w:ascii="Verdana" w:hAnsi="Verdana"/>
          <w:b/>
          <w:sz w:val="20"/>
        </w:rPr>
      </w:pPr>
    </w:p>
    <w:p w:rsidR="002E290D" w:rsidRPr="004F0AA8" w:rsidRDefault="0057595D" w:rsidP="0057182A">
      <w:pPr>
        <w:pStyle w:val="BodyText3"/>
        <w:jc w:val="left"/>
        <w:rPr>
          <w:rFonts w:ascii="Verdana" w:hAnsi="Verdana"/>
          <w:i/>
          <w:sz w:val="20"/>
        </w:rPr>
      </w:pPr>
      <w:r w:rsidRPr="004F0AA8">
        <w:rPr>
          <w:rFonts w:ascii="Verdana" w:hAnsi="Verdana"/>
          <w:i/>
          <w:sz w:val="20"/>
        </w:rPr>
        <w:t>Q</w:t>
      </w:r>
      <w:r w:rsidR="006D10F3" w:rsidRPr="004F0AA8">
        <w:rPr>
          <w:rFonts w:ascii="Verdana" w:hAnsi="Verdana"/>
          <w:i/>
          <w:sz w:val="20"/>
        </w:rPr>
        <w:t>1.</w:t>
      </w:r>
      <w:r w:rsidR="00C160B5" w:rsidRPr="004F0AA8">
        <w:rPr>
          <w:rFonts w:ascii="Verdana" w:hAnsi="Verdana"/>
          <w:i/>
          <w:sz w:val="20"/>
        </w:rPr>
        <w:t xml:space="preserve">6 </w:t>
      </w:r>
      <w:r w:rsidR="002E290D" w:rsidRPr="004F0AA8">
        <w:rPr>
          <w:rFonts w:ascii="Verdana" w:hAnsi="Verdana"/>
          <w:i/>
          <w:sz w:val="20"/>
        </w:rPr>
        <w:t>Con</w:t>
      </w:r>
      <w:r w:rsidR="006D10F3" w:rsidRPr="004F0AA8">
        <w:rPr>
          <w:rFonts w:ascii="Verdana" w:hAnsi="Verdana"/>
          <w:i/>
          <w:sz w:val="20"/>
        </w:rPr>
        <w:t>solidation accounting loopholes</w:t>
      </w:r>
      <w:r w:rsidR="00451B39" w:rsidRPr="004F0AA8">
        <w:rPr>
          <w:rFonts w:ascii="Verdana" w:hAnsi="Verdana"/>
          <w:i/>
          <w:sz w:val="20"/>
        </w:rPr>
        <w:t xml:space="preserve"> </w:t>
      </w:r>
      <w:r w:rsidR="00451B39" w:rsidRPr="004C75DF">
        <w:rPr>
          <w:rFonts w:ascii="Verdana" w:hAnsi="Verdana"/>
          <w:i/>
          <w:sz w:val="20"/>
        </w:rPr>
        <w:t>(Section</w:t>
      </w:r>
      <w:r w:rsidR="00C160B5" w:rsidRPr="004C75DF">
        <w:rPr>
          <w:rFonts w:ascii="Verdana" w:hAnsi="Verdana"/>
          <w:i/>
          <w:sz w:val="20"/>
        </w:rPr>
        <w:t>s</w:t>
      </w:r>
      <w:r w:rsidR="00451B39" w:rsidRPr="004C75DF">
        <w:rPr>
          <w:rFonts w:ascii="Verdana" w:hAnsi="Verdana"/>
          <w:i/>
          <w:sz w:val="20"/>
        </w:rPr>
        <w:t xml:space="preserve"> 1.</w:t>
      </w:r>
      <w:r w:rsidR="00C160B5" w:rsidRPr="00E84C27">
        <w:rPr>
          <w:rFonts w:ascii="Verdana" w:hAnsi="Verdana"/>
          <w:i/>
          <w:sz w:val="20"/>
        </w:rPr>
        <w:t>5</w:t>
      </w:r>
      <w:r w:rsidR="00451B39" w:rsidRPr="00625029">
        <w:rPr>
          <w:rFonts w:ascii="Verdana" w:hAnsi="Verdana"/>
          <w:i/>
          <w:sz w:val="20"/>
        </w:rPr>
        <w:t>.3</w:t>
      </w:r>
      <w:r w:rsidR="00C160B5" w:rsidRPr="00625029">
        <w:rPr>
          <w:rFonts w:ascii="Verdana" w:hAnsi="Verdana"/>
          <w:i/>
          <w:sz w:val="20"/>
        </w:rPr>
        <w:t xml:space="preserve"> and 1.5.4</w:t>
      </w:r>
      <w:r w:rsidR="00451B39" w:rsidRPr="00625029">
        <w:rPr>
          <w:rFonts w:ascii="Verdana" w:hAnsi="Verdana"/>
          <w:i/>
          <w:sz w:val="20"/>
        </w:rPr>
        <w:t>)</w:t>
      </w:r>
    </w:p>
    <w:p w:rsidR="002E290D" w:rsidRPr="00375DC0" w:rsidRDefault="002E290D" w:rsidP="0057182A">
      <w:pPr>
        <w:ind w:firstLine="0"/>
        <w:jc w:val="left"/>
        <w:rPr>
          <w:rFonts w:ascii="Verdana" w:hAnsi="Verdana"/>
          <w:b/>
          <w:i/>
          <w:sz w:val="20"/>
        </w:rPr>
      </w:pPr>
    </w:p>
    <w:p w:rsidR="002E290D" w:rsidRPr="00375DC0" w:rsidRDefault="002E290D" w:rsidP="0057182A">
      <w:pPr>
        <w:pStyle w:val="Heading1"/>
        <w:spacing w:after="0" w:line="240" w:lineRule="auto"/>
        <w:ind w:firstLine="0"/>
        <w:jc w:val="left"/>
        <w:rPr>
          <w:rFonts w:ascii="Verdana" w:hAnsi="Verdana"/>
          <w:i w:val="0"/>
          <w:sz w:val="20"/>
          <w:lang w:eastAsia="zh-CN"/>
        </w:rPr>
      </w:pPr>
      <w:r w:rsidRPr="00375DC0">
        <w:rPr>
          <w:rFonts w:ascii="Verdana" w:hAnsi="Verdana"/>
          <w:i w:val="0"/>
          <w:sz w:val="20"/>
          <w:lang w:eastAsia="zh-CN"/>
        </w:rPr>
        <w:t>Practices used</w:t>
      </w:r>
    </w:p>
    <w:p w:rsidR="00054B47" w:rsidRPr="00375DC0" w:rsidRDefault="00054B47" w:rsidP="0057182A">
      <w:pPr>
        <w:jc w:val="left"/>
        <w:rPr>
          <w:rFonts w:ascii="Verdana" w:hAnsi="Verdana"/>
          <w:sz w:val="20"/>
          <w:lang w:eastAsia="zh-CN"/>
        </w:rPr>
      </w:pPr>
    </w:p>
    <w:p w:rsidR="002E290D" w:rsidRPr="00375DC0" w:rsidRDefault="002E290D" w:rsidP="0057182A">
      <w:pPr>
        <w:ind w:firstLine="0"/>
        <w:jc w:val="left"/>
        <w:rPr>
          <w:rFonts w:ascii="Verdana" w:hAnsi="Verdana"/>
          <w:sz w:val="20"/>
        </w:rPr>
      </w:pPr>
      <w:r w:rsidRPr="00375DC0">
        <w:rPr>
          <w:rFonts w:ascii="Verdana" w:hAnsi="Verdana"/>
          <w:sz w:val="20"/>
        </w:rPr>
        <w:t>Prior to the introduction of a standard on consolidated financial statements,</w:t>
      </w:r>
      <w:r w:rsidR="00AA49FB" w:rsidRPr="00375DC0">
        <w:rPr>
          <w:rFonts w:ascii="Verdana" w:hAnsi="Verdana"/>
          <w:sz w:val="20"/>
        </w:rPr>
        <w:t xml:space="preserve"> </w:t>
      </w:r>
      <w:r w:rsidRPr="00375DC0">
        <w:rPr>
          <w:rFonts w:ascii="Verdana" w:hAnsi="Verdana"/>
          <w:sz w:val="20"/>
        </w:rPr>
        <w:t xml:space="preserve">parent companies were able to avoid consolidation of effectively controlled entities by astute use of the fact that the definition of a subsidiary in the then </w:t>
      </w:r>
      <w:r w:rsidRPr="00375DC0">
        <w:rPr>
          <w:rFonts w:ascii="Verdana" w:hAnsi="Verdana"/>
          <w:i/>
          <w:sz w:val="20"/>
        </w:rPr>
        <w:t>Companies Act 1981</w:t>
      </w:r>
      <w:r w:rsidRPr="00375DC0">
        <w:rPr>
          <w:rFonts w:ascii="Verdana" w:hAnsi="Verdana"/>
          <w:sz w:val="20"/>
        </w:rPr>
        <w:t xml:space="preserve"> (and the </w:t>
      </w:r>
      <w:r w:rsidRPr="00375DC0">
        <w:rPr>
          <w:rFonts w:ascii="Verdana" w:hAnsi="Verdana"/>
          <w:i/>
          <w:sz w:val="20"/>
        </w:rPr>
        <w:t>Companies Act 1961</w:t>
      </w:r>
      <w:r w:rsidRPr="00375DC0">
        <w:rPr>
          <w:rFonts w:ascii="Verdana" w:hAnsi="Verdana"/>
          <w:sz w:val="20"/>
        </w:rPr>
        <w:t xml:space="preserve"> before it) related </w:t>
      </w:r>
      <w:r w:rsidR="005745A6" w:rsidRPr="00375DC0">
        <w:rPr>
          <w:rFonts w:ascii="Verdana" w:hAnsi="Verdana"/>
          <w:sz w:val="20"/>
        </w:rPr>
        <w:t xml:space="preserve">only to corporations </w:t>
      </w:r>
      <w:r w:rsidRPr="00375DC0">
        <w:rPr>
          <w:rFonts w:ascii="Verdana" w:hAnsi="Verdana"/>
          <w:sz w:val="20"/>
        </w:rPr>
        <w:t xml:space="preserve">and relied on majority ownership. Because of this rather loose definition of a subsidiary, three practices were developed to avoid consolidation of certain controlled companies. </w:t>
      </w:r>
    </w:p>
    <w:p w:rsidR="00054B47" w:rsidRPr="00375DC0" w:rsidRDefault="00054B47" w:rsidP="0057182A">
      <w:pPr>
        <w:ind w:firstLine="0"/>
        <w:jc w:val="left"/>
        <w:rPr>
          <w:rFonts w:ascii="Verdana" w:hAnsi="Verdana"/>
          <w:sz w:val="20"/>
        </w:rPr>
      </w:pPr>
    </w:p>
    <w:p w:rsidR="002E290D" w:rsidRPr="00375DC0" w:rsidRDefault="002E290D" w:rsidP="0057182A">
      <w:pPr>
        <w:numPr>
          <w:ilvl w:val="0"/>
          <w:numId w:val="56"/>
        </w:numPr>
        <w:jc w:val="left"/>
        <w:rPr>
          <w:rFonts w:ascii="Verdana" w:hAnsi="Verdana"/>
          <w:sz w:val="20"/>
        </w:rPr>
      </w:pPr>
      <w:r w:rsidRPr="004F0AA8">
        <w:rPr>
          <w:rFonts w:ascii="Verdana" w:hAnsi="Verdana"/>
          <w:i/>
          <w:sz w:val="20"/>
        </w:rPr>
        <w:t>The interposed unit trust</w:t>
      </w:r>
      <w:r w:rsidR="00625029" w:rsidRPr="004F0AA8">
        <w:rPr>
          <w:rFonts w:ascii="Verdana" w:hAnsi="Verdana"/>
          <w:sz w:val="20"/>
        </w:rPr>
        <w:t>:</w:t>
      </w:r>
      <w:r w:rsidR="00625029" w:rsidRPr="00625029">
        <w:rPr>
          <w:rFonts w:ascii="Verdana" w:hAnsi="Verdana"/>
          <w:sz w:val="20"/>
        </w:rPr>
        <w:t xml:space="preserve"> </w:t>
      </w:r>
      <w:r w:rsidRPr="00375DC0">
        <w:rPr>
          <w:rFonts w:ascii="Verdana" w:hAnsi="Verdana"/>
          <w:sz w:val="20"/>
        </w:rPr>
        <w:t xml:space="preserve">One avoidance practice was to interpose a non-corporate entity between a </w:t>
      </w:r>
      <w:r w:rsidR="00FC4CFA" w:rsidRPr="00375DC0">
        <w:rPr>
          <w:rFonts w:ascii="Verdana" w:hAnsi="Verdana"/>
          <w:sz w:val="20"/>
        </w:rPr>
        <w:t xml:space="preserve">parent </w:t>
      </w:r>
      <w:r w:rsidRPr="00375DC0">
        <w:rPr>
          <w:rFonts w:ascii="Verdana" w:hAnsi="Verdana"/>
          <w:sz w:val="20"/>
        </w:rPr>
        <w:t xml:space="preserve">company and a subsidiary company. For example, a holding company could set up a unit trust (refer to Figure 1.3 </w:t>
      </w:r>
      <w:r w:rsidR="00FF3A29" w:rsidRPr="00375DC0">
        <w:rPr>
          <w:rFonts w:ascii="Verdana" w:hAnsi="Verdana"/>
          <w:sz w:val="20"/>
        </w:rPr>
        <w:t>in</w:t>
      </w:r>
      <w:r w:rsidRPr="00375DC0">
        <w:rPr>
          <w:rFonts w:ascii="Verdana" w:hAnsi="Verdana"/>
          <w:sz w:val="20"/>
        </w:rPr>
        <w:t xml:space="preserve"> the text) in which it held all the units, with the unit trust used to hold the shares in a controlled company. This practice relied on the </w:t>
      </w:r>
      <w:r w:rsidRPr="00375DC0">
        <w:rPr>
          <w:rFonts w:ascii="Verdana" w:hAnsi="Verdana"/>
          <w:i/>
          <w:sz w:val="20"/>
        </w:rPr>
        <w:t>Companies Act 1981</w:t>
      </w:r>
      <w:r w:rsidRPr="00375DC0">
        <w:rPr>
          <w:rFonts w:ascii="Verdana" w:hAnsi="Verdana"/>
          <w:sz w:val="20"/>
        </w:rPr>
        <w:t xml:space="preserve"> defining the group in terms of corporate entities only. Under the prevailing legislation, a trust was not a ‘subsidiary’ (because a trust is not a company) so it did not have to be consolidated and any companies in which the trust held shares also escaped consolidation. </w:t>
      </w:r>
    </w:p>
    <w:p w:rsidR="00054B47" w:rsidRPr="00375DC0" w:rsidRDefault="00054B47" w:rsidP="0057182A">
      <w:pPr>
        <w:tabs>
          <w:tab w:val="left" w:pos="2694"/>
        </w:tabs>
        <w:ind w:firstLine="0"/>
        <w:jc w:val="left"/>
        <w:rPr>
          <w:rFonts w:ascii="Verdana" w:hAnsi="Verdana"/>
          <w:sz w:val="20"/>
        </w:rPr>
      </w:pPr>
    </w:p>
    <w:p w:rsidR="002E290D" w:rsidRPr="00375DC0" w:rsidRDefault="002E290D" w:rsidP="0057182A">
      <w:pPr>
        <w:numPr>
          <w:ilvl w:val="0"/>
          <w:numId w:val="56"/>
        </w:numPr>
        <w:jc w:val="left"/>
        <w:rPr>
          <w:rFonts w:ascii="Verdana" w:hAnsi="Verdana"/>
          <w:sz w:val="20"/>
        </w:rPr>
      </w:pPr>
      <w:r w:rsidRPr="004D4664">
        <w:rPr>
          <w:rFonts w:ascii="Verdana" w:hAnsi="Verdana"/>
          <w:i/>
          <w:sz w:val="20"/>
        </w:rPr>
        <w:t>Technical definition of consolidation</w:t>
      </w:r>
      <w:r w:rsidR="004D4664" w:rsidRPr="004D4664">
        <w:rPr>
          <w:rFonts w:ascii="Verdana" w:hAnsi="Verdana"/>
          <w:sz w:val="20"/>
        </w:rPr>
        <w:t>:</w:t>
      </w:r>
      <w:r w:rsidR="004D4664">
        <w:rPr>
          <w:rFonts w:ascii="Verdana" w:hAnsi="Verdana"/>
          <w:b/>
          <w:sz w:val="20"/>
        </w:rPr>
        <w:t xml:space="preserve"> </w:t>
      </w:r>
      <w:r w:rsidRPr="00375DC0">
        <w:rPr>
          <w:rFonts w:ascii="Verdana" w:hAnsi="Verdana"/>
          <w:sz w:val="20"/>
        </w:rPr>
        <w:t xml:space="preserve">The second avoidance practice was based on the fact that the term </w:t>
      </w:r>
      <w:r w:rsidR="004D4664">
        <w:rPr>
          <w:rFonts w:ascii="Verdana" w:hAnsi="Verdana"/>
          <w:sz w:val="20"/>
        </w:rPr>
        <w:t>‘</w:t>
      </w:r>
      <w:r w:rsidRPr="00375DC0">
        <w:rPr>
          <w:rFonts w:ascii="Verdana" w:hAnsi="Verdana"/>
          <w:sz w:val="20"/>
        </w:rPr>
        <w:t>consolidation</w:t>
      </w:r>
      <w:r w:rsidR="004D4664">
        <w:rPr>
          <w:rFonts w:ascii="Verdana" w:hAnsi="Verdana"/>
          <w:sz w:val="20"/>
        </w:rPr>
        <w:t>’</w:t>
      </w:r>
      <w:r w:rsidRPr="00375DC0">
        <w:rPr>
          <w:rFonts w:ascii="Verdana" w:hAnsi="Verdana"/>
          <w:sz w:val="20"/>
        </w:rPr>
        <w:t xml:space="preserve"> under the 1981 Companies Code (and the Corporations Law briefly until July 1991), did not necessarily mean consolidated accounts. As a consequence of this interpretation</w:t>
      </w:r>
      <w:r w:rsidR="004D4664">
        <w:rPr>
          <w:rFonts w:ascii="Verdana" w:hAnsi="Verdana"/>
          <w:sz w:val="20"/>
        </w:rPr>
        <w:t>,</w:t>
      </w:r>
      <w:r w:rsidRPr="00375DC0">
        <w:rPr>
          <w:rFonts w:ascii="Verdana" w:hAnsi="Verdana"/>
          <w:sz w:val="20"/>
        </w:rPr>
        <w:t xml:space="preserve"> it was common practice to omit finance subsidiaries from the group provided adequate justification was given. Their omission was justified on the dubious grounds that their operations were fundamentally different from other companies in the group. </w:t>
      </w:r>
      <w:r w:rsidR="00FF3A29" w:rsidRPr="00375DC0">
        <w:rPr>
          <w:rFonts w:ascii="Verdana" w:hAnsi="Verdana"/>
          <w:sz w:val="20"/>
        </w:rPr>
        <w:t>Section 1.7.6 of the text notes that recent changes to AASB 10 have resulted in certain ‘investment entities’ being exempted from the requirement to consolidate their subsidiaries</w:t>
      </w:r>
      <w:r w:rsidR="00A42F50">
        <w:rPr>
          <w:rFonts w:ascii="Verdana" w:hAnsi="Verdana"/>
          <w:sz w:val="20"/>
        </w:rPr>
        <w:t xml:space="preserve">. </w:t>
      </w:r>
      <w:r w:rsidR="00FF3A29" w:rsidRPr="00375DC0">
        <w:rPr>
          <w:rFonts w:ascii="Verdana" w:hAnsi="Verdana"/>
          <w:sz w:val="20"/>
        </w:rPr>
        <w:t>Although this exemption is quite limited, it does represent a backward step from the general principle that all controlled entities should be included in consolidated financial reports.</w:t>
      </w:r>
    </w:p>
    <w:p w:rsidR="00054B47" w:rsidRPr="00375DC0" w:rsidRDefault="00054B47" w:rsidP="0057182A">
      <w:pPr>
        <w:ind w:firstLine="0"/>
        <w:jc w:val="left"/>
        <w:rPr>
          <w:rFonts w:ascii="Verdana" w:hAnsi="Verdana"/>
          <w:sz w:val="20"/>
        </w:rPr>
      </w:pPr>
    </w:p>
    <w:p w:rsidR="002E290D" w:rsidRPr="00375DC0" w:rsidRDefault="002E290D" w:rsidP="0057182A">
      <w:pPr>
        <w:numPr>
          <w:ilvl w:val="0"/>
          <w:numId w:val="56"/>
        </w:numPr>
        <w:jc w:val="left"/>
        <w:rPr>
          <w:rFonts w:ascii="Verdana" w:hAnsi="Verdana"/>
          <w:sz w:val="20"/>
        </w:rPr>
      </w:pPr>
      <w:r w:rsidRPr="004D4664">
        <w:rPr>
          <w:rFonts w:ascii="Verdana" w:hAnsi="Verdana"/>
          <w:i/>
          <w:sz w:val="20"/>
        </w:rPr>
        <w:t>Majority ownership loophole</w:t>
      </w:r>
      <w:r w:rsidR="004D4664" w:rsidRPr="004D4664">
        <w:rPr>
          <w:rFonts w:ascii="Verdana" w:hAnsi="Verdana"/>
          <w:sz w:val="20"/>
        </w:rPr>
        <w:t>:</w:t>
      </w:r>
      <w:r w:rsidR="004D4664">
        <w:rPr>
          <w:rFonts w:ascii="Verdana" w:hAnsi="Verdana"/>
          <w:b/>
          <w:sz w:val="20"/>
        </w:rPr>
        <w:t xml:space="preserve"> </w:t>
      </w:r>
      <w:r w:rsidRPr="003425F4">
        <w:rPr>
          <w:rFonts w:ascii="Verdana" w:hAnsi="Verdana"/>
          <w:sz w:val="20"/>
        </w:rPr>
        <w:t xml:space="preserve">The third avoidance practice relied on a legalistic interpretation that the subsidiary definition in the </w:t>
      </w:r>
      <w:r w:rsidRPr="003425F4">
        <w:rPr>
          <w:rFonts w:ascii="Verdana" w:hAnsi="Verdana"/>
          <w:i/>
          <w:sz w:val="20"/>
        </w:rPr>
        <w:t>Companies Act 1981</w:t>
      </w:r>
      <w:r w:rsidRPr="003425F4">
        <w:rPr>
          <w:rFonts w:ascii="Verdana" w:hAnsi="Verdana"/>
          <w:sz w:val="20"/>
        </w:rPr>
        <w:t xml:space="preserve"> required ownership of more than half of the ordinary voting shares of a company. In practice, it became generally accepted that a company holding 50% or 49.9%</w:t>
      </w:r>
      <w:r w:rsidR="005745A6" w:rsidRPr="003425F4">
        <w:rPr>
          <w:rFonts w:ascii="Verdana" w:hAnsi="Verdana"/>
          <w:sz w:val="20"/>
        </w:rPr>
        <w:t>,</w:t>
      </w:r>
      <w:r w:rsidRPr="003425F4">
        <w:rPr>
          <w:rFonts w:ascii="Verdana" w:hAnsi="Verdana"/>
          <w:sz w:val="20"/>
        </w:rPr>
        <w:t xml:space="preserve"> or some lower percentage of the ordinary voting shares in another company</w:t>
      </w:r>
      <w:r w:rsidR="005745A6" w:rsidRPr="003425F4">
        <w:rPr>
          <w:rFonts w:ascii="Verdana" w:hAnsi="Verdana"/>
          <w:sz w:val="20"/>
        </w:rPr>
        <w:t>,</w:t>
      </w:r>
      <w:r w:rsidRPr="003425F4">
        <w:rPr>
          <w:rFonts w:ascii="Verdana" w:hAnsi="Verdana"/>
          <w:sz w:val="20"/>
        </w:rPr>
        <w:t xml:space="preserve"> did not have to classify that other company as a subsidiary. Whether one company had </w:t>
      </w:r>
      <w:r w:rsidRPr="003425F4">
        <w:rPr>
          <w:rFonts w:ascii="Verdana" w:hAnsi="Verdana"/>
          <w:i/>
          <w:sz w:val="20"/>
        </w:rPr>
        <w:t>de facto</w:t>
      </w:r>
      <w:r w:rsidRPr="003425F4">
        <w:rPr>
          <w:rFonts w:ascii="Verdana" w:hAnsi="Verdana"/>
          <w:sz w:val="20"/>
        </w:rPr>
        <w:t xml:space="preserve"> control over another company was frequently treated as being irrelevant to the subsidiary definition. Therefore, majority share ownership was central to consolidation practice and corporate managers with incentives to exclude or remove a company from the consolidation need only arrange a shareholding of 50% or less.</w:t>
      </w:r>
      <w:r w:rsidRPr="00375DC0">
        <w:rPr>
          <w:rFonts w:ascii="Verdana" w:hAnsi="Verdana"/>
          <w:sz w:val="20"/>
        </w:rPr>
        <w:t xml:space="preserve"> None of these companies would be deemed subsidiaries because of the absence of majority share ownership.</w:t>
      </w:r>
    </w:p>
    <w:p w:rsidR="002E290D" w:rsidRPr="00375DC0" w:rsidRDefault="002E290D" w:rsidP="0057182A">
      <w:pPr>
        <w:jc w:val="left"/>
        <w:rPr>
          <w:rFonts w:ascii="Verdana" w:hAnsi="Verdana"/>
          <w:sz w:val="20"/>
        </w:rPr>
      </w:pPr>
    </w:p>
    <w:p w:rsidR="002E290D" w:rsidRPr="00375DC0" w:rsidRDefault="002E290D" w:rsidP="0057182A">
      <w:pPr>
        <w:pStyle w:val="BodyText"/>
        <w:jc w:val="left"/>
        <w:rPr>
          <w:rFonts w:ascii="Verdana" w:hAnsi="Verdana"/>
          <w:b/>
          <w:sz w:val="20"/>
        </w:rPr>
      </w:pPr>
      <w:r w:rsidRPr="00375DC0">
        <w:rPr>
          <w:rFonts w:ascii="Verdana" w:hAnsi="Verdana"/>
          <w:b/>
          <w:sz w:val="20"/>
        </w:rPr>
        <w:t>How did the consolidation standard attempt to put a stop these dubious practices?</w:t>
      </w:r>
    </w:p>
    <w:p w:rsidR="00054B47" w:rsidRPr="00375DC0" w:rsidRDefault="00054B47" w:rsidP="0057182A">
      <w:pPr>
        <w:pStyle w:val="BodyText"/>
        <w:jc w:val="left"/>
        <w:rPr>
          <w:rFonts w:ascii="Verdana" w:hAnsi="Verdana"/>
          <w:b/>
          <w:sz w:val="20"/>
        </w:rPr>
      </w:pPr>
    </w:p>
    <w:p w:rsidR="002E290D" w:rsidRPr="00375DC0" w:rsidRDefault="002E290D" w:rsidP="0057182A">
      <w:pPr>
        <w:ind w:firstLine="0"/>
        <w:jc w:val="left"/>
        <w:rPr>
          <w:rFonts w:ascii="Verdana" w:hAnsi="Verdana"/>
          <w:spacing w:val="-5"/>
          <w:sz w:val="20"/>
        </w:rPr>
      </w:pPr>
      <w:r w:rsidRPr="00375DC0">
        <w:rPr>
          <w:rFonts w:ascii="Verdana" w:hAnsi="Verdana"/>
          <w:spacing w:val="-5"/>
          <w:sz w:val="20"/>
        </w:rPr>
        <w:t xml:space="preserve">The first consolidation standard (issued as </w:t>
      </w:r>
      <w:smartTag w:uri="urn:schemas-microsoft-com:office:smarttags" w:element="stockticker">
        <w:r w:rsidRPr="00375DC0">
          <w:rPr>
            <w:rFonts w:ascii="Verdana" w:hAnsi="Verdana"/>
            <w:spacing w:val="-5"/>
            <w:sz w:val="20"/>
          </w:rPr>
          <w:t>AAS</w:t>
        </w:r>
      </w:smartTag>
      <w:r w:rsidRPr="00375DC0">
        <w:rPr>
          <w:rFonts w:ascii="Verdana" w:hAnsi="Verdana"/>
          <w:spacing w:val="-5"/>
          <w:sz w:val="20"/>
        </w:rPr>
        <w:t xml:space="preserve"> 24 in June 1990) attempted to stop the </w:t>
      </w:r>
      <w:r w:rsidR="00E56DFF">
        <w:rPr>
          <w:rFonts w:ascii="Verdana" w:hAnsi="Verdana"/>
          <w:spacing w:val="-5"/>
          <w:sz w:val="20"/>
        </w:rPr>
        <w:t xml:space="preserve">previously </w:t>
      </w:r>
      <w:r w:rsidRPr="00375DC0">
        <w:rPr>
          <w:rFonts w:ascii="Verdana" w:hAnsi="Verdana"/>
          <w:spacing w:val="-5"/>
          <w:sz w:val="20"/>
        </w:rPr>
        <w:t>mentioned practices by</w:t>
      </w:r>
      <w:r w:rsidR="00D67B6C">
        <w:rPr>
          <w:rFonts w:ascii="Verdana" w:hAnsi="Verdana"/>
          <w:spacing w:val="-5"/>
          <w:sz w:val="20"/>
        </w:rPr>
        <w:t xml:space="preserve"> the following.</w:t>
      </w:r>
    </w:p>
    <w:p w:rsidR="00054B47" w:rsidRPr="00375DC0" w:rsidRDefault="00054B47" w:rsidP="0057182A">
      <w:pPr>
        <w:ind w:firstLine="0"/>
        <w:jc w:val="left"/>
        <w:rPr>
          <w:rFonts w:ascii="Verdana" w:hAnsi="Verdana"/>
          <w:spacing w:val="-5"/>
          <w:sz w:val="20"/>
        </w:rPr>
      </w:pPr>
    </w:p>
    <w:p w:rsidR="0057595D" w:rsidRDefault="00D67B6C" w:rsidP="00A05310">
      <w:pPr>
        <w:numPr>
          <w:ilvl w:val="0"/>
          <w:numId w:val="46"/>
        </w:numPr>
        <w:ind w:left="357" w:hanging="357"/>
        <w:jc w:val="left"/>
        <w:rPr>
          <w:rFonts w:ascii="Verdana" w:hAnsi="Verdana"/>
          <w:sz w:val="20"/>
        </w:rPr>
      </w:pPr>
      <w:r>
        <w:rPr>
          <w:rFonts w:ascii="Verdana" w:hAnsi="Verdana"/>
          <w:sz w:val="20"/>
        </w:rPr>
        <w:lastRenderedPageBreak/>
        <w:t>S</w:t>
      </w:r>
      <w:r w:rsidR="002E290D" w:rsidRPr="00375DC0">
        <w:rPr>
          <w:rFonts w:ascii="Verdana" w:hAnsi="Verdana"/>
          <w:sz w:val="20"/>
        </w:rPr>
        <w:t>ubstituting the word</w:t>
      </w:r>
      <w:r w:rsidR="004D4664">
        <w:rPr>
          <w:rFonts w:ascii="Verdana" w:hAnsi="Verdana"/>
          <w:sz w:val="20"/>
        </w:rPr>
        <w:t>s</w:t>
      </w:r>
      <w:r w:rsidR="002E290D" w:rsidRPr="00375DC0">
        <w:rPr>
          <w:rFonts w:ascii="Verdana" w:hAnsi="Verdana"/>
          <w:sz w:val="20"/>
        </w:rPr>
        <w:t xml:space="preserve"> </w:t>
      </w:r>
      <w:r w:rsidR="004D4664">
        <w:rPr>
          <w:rFonts w:ascii="Verdana" w:hAnsi="Verdana"/>
          <w:sz w:val="20"/>
        </w:rPr>
        <w:t>‘</w:t>
      </w:r>
      <w:r w:rsidR="002E290D" w:rsidRPr="00375DC0">
        <w:rPr>
          <w:rFonts w:ascii="Verdana" w:hAnsi="Verdana"/>
          <w:sz w:val="20"/>
        </w:rPr>
        <w:t>parent entity</w:t>
      </w:r>
      <w:r w:rsidR="004D4664">
        <w:rPr>
          <w:rFonts w:ascii="Verdana" w:hAnsi="Verdana"/>
          <w:sz w:val="20"/>
        </w:rPr>
        <w:t>’</w:t>
      </w:r>
      <w:r w:rsidR="002E290D" w:rsidRPr="00375DC0">
        <w:rPr>
          <w:rFonts w:ascii="Verdana" w:hAnsi="Verdana"/>
          <w:sz w:val="20"/>
        </w:rPr>
        <w:t xml:space="preserve"> for </w:t>
      </w:r>
      <w:r w:rsidR="004D4664">
        <w:rPr>
          <w:rFonts w:ascii="Verdana" w:hAnsi="Verdana"/>
          <w:sz w:val="20"/>
        </w:rPr>
        <w:t>‘</w:t>
      </w:r>
      <w:r w:rsidR="00AF3ADF" w:rsidRPr="00375DC0">
        <w:rPr>
          <w:rFonts w:ascii="Verdana" w:hAnsi="Verdana"/>
          <w:sz w:val="20"/>
        </w:rPr>
        <w:t>holding company</w:t>
      </w:r>
      <w:r w:rsidR="004D4664">
        <w:rPr>
          <w:rFonts w:ascii="Verdana" w:hAnsi="Verdana"/>
          <w:sz w:val="20"/>
        </w:rPr>
        <w:t>’</w:t>
      </w:r>
      <w:r w:rsidR="00AF3ADF" w:rsidRPr="00375DC0">
        <w:rPr>
          <w:rFonts w:ascii="Verdana" w:hAnsi="Verdana"/>
          <w:sz w:val="20"/>
        </w:rPr>
        <w:t xml:space="preserve"> and redefined </w:t>
      </w:r>
      <w:r w:rsidR="004D4664">
        <w:rPr>
          <w:rFonts w:ascii="Verdana" w:hAnsi="Verdana"/>
          <w:sz w:val="20"/>
        </w:rPr>
        <w:t>‘</w:t>
      </w:r>
      <w:r w:rsidR="002E290D" w:rsidRPr="00375DC0">
        <w:rPr>
          <w:rFonts w:ascii="Verdana" w:hAnsi="Verdana"/>
          <w:sz w:val="20"/>
        </w:rPr>
        <w:t>subsidiary</w:t>
      </w:r>
      <w:r w:rsidR="004D4664">
        <w:rPr>
          <w:rFonts w:ascii="Verdana" w:hAnsi="Verdana"/>
          <w:sz w:val="20"/>
        </w:rPr>
        <w:t>’</w:t>
      </w:r>
      <w:r w:rsidR="002E290D" w:rsidRPr="00375DC0">
        <w:rPr>
          <w:rFonts w:ascii="Verdana" w:hAnsi="Verdana"/>
          <w:sz w:val="20"/>
        </w:rPr>
        <w:t xml:space="preserve"> as an entity (not necessarily a company) that is controlled by another entity. This meant that non-corporate entities, such as trusts and partnerships, had to be consolidated in addition to companies controlled by a parent entity. Therefore</w:t>
      </w:r>
      <w:r w:rsidR="004D4664">
        <w:rPr>
          <w:rFonts w:ascii="Verdana" w:hAnsi="Verdana"/>
          <w:sz w:val="20"/>
        </w:rPr>
        <w:t>,</w:t>
      </w:r>
      <w:r w:rsidR="002E290D" w:rsidRPr="00375DC0">
        <w:rPr>
          <w:rFonts w:ascii="Verdana" w:hAnsi="Verdana"/>
          <w:sz w:val="20"/>
        </w:rPr>
        <w:t xml:space="preserve"> the interposed unit trust technique could no longer be used to avoid consolidating less performing and/or highly geared companies.</w:t>
      </w:r>
    </w:p>
    <w:p w:rsidR="00D67B6C" w:rsidRDefault="00D67B6C" w:rsidP="00A05310">
      <w:pPr>
        <w:ind w:left="357" w:hanging="357"/>
        <w:jc w:val="left"/>
        <w:rPr>
          <w:rFonts w:ascii="Verdana" w:hAnsi="Verdana"/>
          <w:sz w:val="20"/>
        </w:rPr>
      </w:pPr>
    </w:p>
    <w:p w:rsidR="0057595D" w:rsidRDefault="00D67B6C" w:rsidP="00A05310">
      <w:pPr>
        <w:numPr>
          <w:ilvl w:val="0"/>
          <w:numId w:val="46"/>
        </w:numPr>
        <w:ind w:left="357" w:hanging="357"/>
        <w:jc w:val="left"/>
        <w:rPr>
          <w:rFonts w:ascii="Verdana" w:hAnsi="Verdana"/>
          <w:sz w:val="20"/>
        </w:rPr>
      </w:pPr>
      <w:r>
        <w:rPr>
          <w:rFonts w:ascii="Verdana" w:hAnsi="Verdana"/>
          <w:sz w:val="20"/>
        </w:rPr>
        <w:t>R</w:t>
      </w:r>
      <w:r w:rsidR="002E290D" w:rsidRPr="0057595D">
        <w:rPr>
          <w:rFonts w:ascii="Verdana" w:hAnsi="Verdana"/>
          <w:sz w:val="20"/>
        </w:rPr>
        <w:t>equiring all subsidiaries to consolidate. There were to be no exce</w:t>
      </w:r>
      <w:r w:rsidR="0057595D" w:rsidRPr="0057595D">
        <w:rPr>
          <w:rFonts w:ascii="Verdana" w:hAnsi="Verdana"/>
          <w:sz w:val="20"/>
        </w:rPr>
        <w:t>ptions to this basic principle.</w:t>
      </w:r>
    </w:p>
    <w:p w:rsidR="0057595D" w:rsidRDefault="0057595D" w:rsidP="00A05310">
      <w:pPr>
        <w:pStyle w:val="ListParagraph"/>
        <w:ind w:left="357" w:hanging="357"/>
        <w:jc w:val="left"/>
        <w:rPr>
          <w:rFonts w:ascii="Verdana" w:hAnsi="Verdana"/>
          <w:sz w:val="20"/>
        </w:rPr>
      </w:pPr>
    </w:p>
    <w:p w:rsidR="002E290D" w:rsidRPr="0057595D" w:rsidRDefault="00D67B6C" w:rsidP="00A05310">
      <w:pPr>
        <w:numPr>
          <w:ilvl w:val="0"/>
          <w:numId w:val="46"/>
        </w:numPr>
        <w:ind w:left="357" w:hanging="357"/>
        <w:jc w:val="left"/>
        <w:rPr>
          <w:rFonts w:ascii="Verdana" w:hAnsi="Verdana"/>
          <w:sz w:val="20"/>
        </w:rPr>
      </w:pPr>
      <w:r>
        <w:rPr>
          <w:rFonts w:ascii="Verdana" w:hAnsi="Verdana"/>
          <w:sz w:val="20"/>
        </w:rPr>
        <w:t>S</w:t>
      </w:r>
      <w:r w:rsidR="002E290D" w:rsidRPr="0057595D">
        <w:rPr>
          <w:rFonts w:ascii="Verdana" w:hAnsi="Verdana"/>
          <w:sz w:val="20"/>
        </w:rPr>
        <w:t>tating that the control criterion, rather than majority ownership, would be used as the trigger to determine whether consolidation would take place. The control criterion established economic substance rather than legal form as determining the boundaries of the group subject to consolidation.</w:t>
      </w:r>
    </w:p>
    <w:p w:rsidR="00764068" w:rsidRPr="00375DC0" w:rsidRDefault="00764068" w:rsidP="0057182A">
      <w:pPr>
        <w:jc w:val="left"/>
        <w:rPr>
          <w:rFonts w:ascii="Verdana" w:hAnsi="Verdana"/>
          <w:sz w:val="20"/>
        </w:rPr>
      </w:pPr>
    </w:p>
    <w:p w:rsidR="002E290D" w:rsidRPr="00375DC0" w:rsidRDefault="002E290D" w:rsidP="0057182A">
      <w:pPr>
        <w:pStyle w:val="Heading1"/>
        <w:spacing w:after="0" w:line="240" w:lineRule="auto"/>
        <w:ind w:firstLine="0"/>
        <w:jc w:val="left"/>
        <w:rPr>
          <w:rFonts w:ascii="Verdana" w:hAnsi="Verdana"/>
          <w:i w:val="0"/>
          <w:sz w:val="20"/>
        </w:rPr>
      </w:pPr>
      <w:r w:rsidRPr="00375DC0">
        <w:rPr>
          <w:rFonts w:ascii="Verdana" w:hAnsi="Verdana"/>
          <w:i w:val="0"/>
          <w:sz w:val="20"/>
        </w:rPr>
        <w:t>Has the attempt been successful?</w:t>
      </w:r>
    </w:p>
    <w:p w:rsidR="00054B47" w:rsidRPr="00375DC0" w:rsidRDefault="00054B47" w:rsidP="0057182A">
      <w:pPr>
        <w:jc w:val="left"/>
        <w:rPr>
          <w:rFonts w:ascii="Verdana" w:hAnsi="Verdana"/>
          <w:sz w:val="20"/>
        </w:rPr>
      </w:pPr>
    </w:p>
    <w:p w:rsidR="002E290D" w:rsidRPr="00375DC0" w:rsidRDefault="002E290D" w:rsidP="0057182A">
      <w:pPr>
        <w:pStyle w:val="BodyText2"/>
        <w:jc w:val="left"/>
        <w:rPr>
          <w:rFonts w:ascii="Verdana" w:hAnsi="Verdana"/>
          <w:sz w:val="20"/>
        </w:rPr>
      </w:pPr>
      <w:r w:rsidRPr="00375DC0">
        <w:rPr>
          <w:rFonts w:ascii="Verdana" w:hAnsi="Verdana"/>
          <w:sz w:val="20"/>
        </w:rPr>
        <w:t>The consolidation standards (</w:t>
      </w:r>
      <w:smartTag w:uri="urn:schemas-microsoft-com:office:smarttags" w:element="stockticker">
        <w:r w:rsidRPr="00375DC0">
          <w:rPr>
            <w:rFonts w:ascii="Verdana" w:hAnsi="Verdana"/>
            <w:sz w:val="20"/>
          </w:rPr>
          <w:t>AAS</w:t>
        </w:r>
      </w:smartTag>
      <w:r w:rsidRPr="00375DC0">
        <w:rPr>
          <w:rFonts w:ascii="Verdana" w:hAnsi="Verdana"/>
          <w:sz w:val="20"/>
        </w:rPr>
        <w:t xml:space="preserve"> 24, AASB 1024</w:t>
      </w:r>
      <w:r w:rsidR="00504FA9" w:rsidRPr="00375DC0">
        <w:rPr>
          <w:rFonts w:ascii="Verdana" w:hAnsi="Verdana"/>
          <w:sz w:val="20"/>
        </w:rPr>
        <w:t>,</w:t>
      </w:r>
      <w:r w:rsidRPr="00375DC0">
        <w:rPr>
          <w:rFonts w:ascii="Verdana" w:hAnsi="Verdana"/>
          <w:sz w:val="20"/>
        </w:rPr>
        <w:t xml:space="preserve"> AASB 127</w:t>
      </w:r>
      <w:r w:rsidR="00504FA9" w:rsidRPr="00375DC0">
        <w:rPr>
          <w:rFonts w:ascii="Verdana" w:hAnsi="Verdana"/>
          <w:sz w:val="20"/>
        </w:rPr>
        <w:t xml:space="preserve"> and AASB 10</w:t>
      </w:r>
      <w:r w:rsidRPr="00375DC0">
        <w:rPr>
          <w:rFonts w:ascii="Verdana" w:hAnsi="Verdana"/>
          <w:sz w:val="20"/>
        </w:rPr>
        <w:t>) have increased the frequency of consolidation of non-corporate entities and less</w:t>
      </w:r>
      <w:r w:rsidR="00D67B6C">
        <w:rPr>
          <w:rFonts w:ascii="Verdana" w:hAnsi="Verdana"/>
          <w:sz w:val="20"/>
        </w:rPr>
        <w:t>-</w:t>
      </w:r>
      <w:r w:rsidRPr="00375DC0">
        <w:rPr>
          <w:rFonts w:ascii="Verdana" w:hAnsi="Verdana"/>
          <w:sz w:val="20"/>
        </w:rPr>
        <w:t>than</w:t>
      </w:r>
      <w:r w:rsidR="00D67B6C">
        <w:rPr>
          <w:rFonts w:ascii="Verdana" w:hAnsi="Verdana"/>
          <w:sz w:val="20"/>
        </w:rPr>
        <w:t>-</w:t>
      </w:r>
      <w:r w:rsidRPr="00375DC0">
        <w:rPr>
          <w:rFonts w:ascii="Verdana" w:hAnsi="Verdana"/>
          <w:sz w:val="20"/>
        </w:rPr>
        <w:t>majority</w:t>
      </w:r>
      <w:r w:rsidR="00D67B6C">
        <w:rPr>
          <w:rFonts w:ascii="Verdana" w:hAnsi="Verdana"/>
          <w:sz w:val="20"/>
        </w:rPr>
        <w:t>-</w:t>
      </w:r>
      <w:r w:rsidRPr="00375DC0">
        <w:rPr>
          <w:rFonts w:ascii="Verdana" w:hAnsi="Verdana"/>
          <w:sz w:val="20"/>
        </w:rPr>
        <w:t>owned companies (refer to T</w:t>
      </w:r>
      <w:r w:rsidR="006D39F0" w:rsidRPr="00375DC0">
        <w:rPr>
          <w:rFonts w:ascii="Verdana" w:hAnsi="Verdana"/>
          <w:sz w:val="20"/>
        </w:rPr>
        <w:t xml:space="preserve">able 1.3 </w:t>
      </w:r>
      <w:r w:rsidR="00504FA9" w:rsidRPr="00375DC0">
        <w:rPr>
          <w:rFonts w:ascii="Verdana" w:hAnsi="Verdana"/>
          <w:sz w:val="20"/>
        </w:rPr>
        <w:t>in</w:t>
      </w:r>
      <w:r w:rsidRPr="00375DC0">
        <w:rPr>
          <w:rFonts w:ascii="Verdana" w:hAnsi="Verdana"/>
          <w:sz w:val="20"/>
        </w:rPr>
        <w:t xml:space="preserve"> the text) and, using this as a criterion, it could be argued that the standards were successful. </w:t>
      </w:r>
    </w:p>
    <w:p w:rsidR="00054B47" w:rsidRPr="00375DC0" w:rsidRDefault="00054B47" w:rsidP="0057182A">
      <w:pPr>
        <w:pStyle w:val="BodyText2"/>
        <w:jc w:val="left"/>
        <w:rPr>
          <w:rFonts w:ascii="Verdana" w:hAnsi="Verdana"/>
          <w:sz w:val="20"/>
        </w:rPr>
      </w:pPr>
    </w:p>
    <w:p w:rsidR="002E290D" w:rsidRPr="00375DC0" w:rsidRDefault="002E290D" w:rsidP="0057182A">
      <w:pPr>
        <w:ind w:firstLine="0"/>
        <w:jc w:val="left"/>
        <w:rPr>
          <w:rFonts w:ascii="Verdana" w:hAnsi="Verdana"/>
          <w:sz w:val="20"/>
        </w:rPr>
      </w:pPr>
      <w:r w:rsidRPr="00375DC0">
        <w:rPr>
          <w:rFonts w:ascii="Verdana" w:hAnsi="Verdana"/>
          <w:sz w:val="20"/>
        </w:rPr>
        <w:t>AASB 1024 also introduced greater uniformity to consolidation accounting practices. Because of the absence of a prior standard on consolidation accounting, a wide variety of consolidation practices were in use and had become regarded as acceptable. AASB 1024 set out to remedy this problem and addressed other significant issues including:</w:t>
      </w:r>
    </w:p>
    <w:p w:rsidR="00054B47" w:rsidRPr="00375DC0" w:rsidRDefault="00054B47" w:rsidP="0057182A">
      <w:pPr>
        <w:ind w:firstLine="0"/>
        <w:jc w:val="left"/>
        <w:rPr>
          <w:rFonts w:ascii="Verdana" w:hAnsi="Verdana"/>
          <w:sz w:val="20"/>
        </w:rPr>
      </w:pPr>
    </w:p>
    <w:p w:rsidR="002E290D" w:rsidRDefault="00D67B6C" w:rsidP="00A05310">
      <w:pPr>
        <w:numPr>
          <w:ilvl w:val="0"/>
          <w:numId w:val="23"/>
        </w:numPr>
        <w:tabs>
          <w:tab w:val="clear" w:pos="720"/>
        </w:tabs>
        <w:ind w:left="357" w:hanging="357"/>
        <w:jc w:val="left"/>
        <w:rPr>
          <w:rFonts w:ascii="Verdana" w:hAnsi="Verdana"/>
          <w:sz w:val="20"/>
        </w:rPr>
      </w:pPr>
      <w:r>
        <w:rPr>
          <w:rFonts w:ascii="Verdana" w:hAnsi="Verdana"/>
          <w:sz w:val="20"/>
        </w:rPr>
        <w:t>T</w:t>
      </w:r>
      <w:r w:rsidR="002E290D" w:rsidRPr="00375DC0">
        <w:rPr>
          <w:rFonts w:ascii="Verdana" w:hAnsi="Verdana"/>
          <w:sz w:val="20"/>
        </w:rPr>
        <w:t>he adoption of the group concept as the basis for the t</w:t>
      </w:r>
      <w:r w:rsidR="00AF3ADF" w:rsidRPr="00375DC0">
        <w:rPr>
          <w:rFonts w:ascii="Verdana" w:hAnsi="Verdana"/>
          <w:sz w:val="20"/>
        </w:rPr>
        <w:t>echniques of full consolidation</w:t>
      </w:r>
      <w:r w:rsidR="002E290D" w:rsidRPr="00375DC0">
        <w:rPr>
          <w:rFonts w:ascii="Verdana" w:hAnsi="Verdana"/>
          <w:sz w:val="20"/>
        </w:rPr>
        <w:t>;</w:t>
      </w:r>
    </w:p>
    <w:p w:rsidR="0057595D" w:rsidRPr="00375DC0" w:rsidRDefault="0057595D" w:rsidP="00A05310">
      <w:pPr>
        <w:ind w:left="357" w:hanging="357"/>
        <w:jc w:val="left"/>
        <w:rPr>
          <w:rFonts w:ascii="Verdana" w:hAnsi="Verdana"/>
          <w:sz w:val="20"/>
        </w:rPr>
      </w:pPr>
    </w:p>
    <w:p w:rsidR="002E290D" w:rsidRDefault="00D67B6C" w:rsidP="00A05310">
      <w:pPr>
        <w:numPr>
          <w:ilvl w:val="0"/>
          <w:numId w:val="23"/>
        </w:numPr>
        <w:tabs>
          <w:tab w:val="clear" w:pos="720"/>
        </w:tabs>
        <w:ind w:left="357" w:hanging="357"/>
        <w:jc w:val="left"/>
        <w:rPr>
          <w:rFonts w:ascii="Verdana" w:hAnsi="Verdana"/>
          <w:sz w:val="20"/>
        </w:rPr>
      </w:pPr>
      <w:r>
        <w:rPr>
          <w:rFonts w:ascii="Verdana" w:hAnsi="Verdana"/>
          <w:sz w:val="20"/>
        </w:rPr>
        <w:t>T</w:t>
      </w:r>
      <w:r w:rsidR="002E290D" w:rsidRPr="00375DC0">
        <w:rPr>
          <w:rFonts w:ascii="Verdana" w:hAnsi="Verdana"/>
          <w:sz w:val="20"/>
        </w:rPr>
        <w:t xml:space="preserve">he disclosure of consolidated equity items disaggregated into equity attributable to the parent entity and equity attributable to </w:t>
      </w:r>
      <w:r w:rsidR="00FC4CFA" w:rsidRPr="00375DC0">
        <w:rPr>
          <w:rFonts w:ascii="Verdana" w:hAnsi="Verdana"/>
          <w:sz w:val="20"/>
        </w:rPr>
        <w:t xml:space="preserve">non-controlling </w:t>
      </w:r>
      <w:r w:rsidR="002E290D" w:rsidRPr="00375DC0">
        <w:rPr>
          <w:rFonts w:ascii="Verdana" w:hAnsi="Verdana"/>
          <w:sz w:val="20"/>
        </w:rPr>
        <w:t xml:space="preserve">interest arising from partly owned subsidiaries; </w:t>
      </w:r>
    </w:p>
    <w:p w:rsidR="0057595D" w:rsidRPr="00375DC0" w:rsidRDefault="0057595D" w:rsidP="00A05310">
      <w:pPr>
        <w:ind w:left="357" w:hanging="357"/>
        <w:jc w:val="left"/>
        <w:rPr>
          <w:rFonts w:ascii="Verdana" w:hAnsi="Verdana"/>
          <w:sz w:val="20"/>
        </w:rPr>
      </w:pPr>
    </w:p>
    <w:p w:rsidR="002E290D" w:rsidRDefault="00D67B6C" w:rsidP="00A05310">
      <w:pPr>
        <w:numPr>
          <w:ilvl w:val="0"/>
          <w:numId w:val="23"/>
        </w:numPr>
        <w:tabs>
          <w:tab w:val="clear" w:pos="720"/>
        </w:tabs>
        <w:ind w:left="357" w:hanging="357"/>
        <w:jc w:val="left"/>
        <w:rPr>
          <w:rFonts w:ascii="Verdana" w:hAnsi="Verdana"/>
          <w:sz w:val="20"/>
        </w:rPr>
      </w:pPr>
      <w:r>
        <w:rPr>
          <w:rFonts w:ascii="Verdana" w:hAnsi="Verdana"/>
          <w:sz w:val="20"/>
        </w:rPr>
        <w:t>T</w:t>
      </w:r>
      <w:r w:rsidR="002E290D" w:rsidRPr="00375DC0">
        <w:rPr>
          <w:rFonts w:ascii="Verdana" w:hAnsi="Verdana"/>
          <w:sz w:val="20"/>
        </w:rPr>
        <w:t>he method of dealing with profits and losses arising from transactions within the group; and</w:t>
      </w:r>
    </w:p>
    <w:p w:rsidR="0057595D" w:rsidRPr="00375DC0" w:rsidRDefault="0057595D" w:rsidP="00A05310">
      <w:pPr>
        <w:ind w:left="357" w:hanging="357"/>
        <w:jc w:val="left"/>
        <w:rPr>
          <w:rFonts w:ascii="Verdana" w:hAnsi="Verdana"/>
          <w:sz w:val="20"/>
        </w:rPr>
      </w:pPr>
    </w:p>
    <w:p w:rsidR="002E290D" w:rsidRPr="00375DC0" w:rsidRDefault="00D67B6C" w:rsidP="00A05310">
      <w:pPr>
        <w:numPr>
          <w:ilvl w:val="0"/>
          <w:numId w:val="25"/>
        </w:numPr>
        <w:tabs>
          <w:tab w:val="clear" w:pos="720"/>
        </w:tabs>
        <w:ind w:left="357" w:hanging="357"/>
        <w:jc w:val="left"/>
        <w:rPr>
          <w:rFonts w:ascii="Verdana" w:hAnsi="Verdana"/>
          <w:sz w:val="20"/>
        </w:rPr>
      </w:pPr>
      <w:r>
        <w:rPr>
          <w:rFonts w:ascii="Verdana" w:hAnsi="Verdana"/>
          <w:sz w:val="20"/>
        </w:rPr>
        <w:t>T</w:t>
      </w:r>
      <w:r w:rsidR="002E290D" w:rsidRPr="00375DC0">
        <w:rPr>
          <w:rFonts w:ascii="Verdana" w:hAnsi="Verdana"/>
          <w:sz w:val="20"/>
        </w:rPr>
        <w:t>he methods of accounting for increases and decreases in the level of ownership interest.</w:t>
      </w:r>
    </w:p>
    <w:p w:rsidR="002E290D" w:rsidRPr="00375DC0" w:rsidRDefault="002E290D" w:rsidP="0057182A">
      <w:pPr>
        <w:ind w:firstLine="0"/>
        <w:jc w:val="left"/>
        <w:rPr>
          <w:rFonts w:ascii="Verdana" w:hAnsi="Verdana"/>
          <w:sz w:val="20"/>
        </w:rPr>
      </w:pPr>
    </w:p>
    <w:p w:rsidR="00504FA9" w:rsidRPr="00375DC0" w:rsidRDefault="00504FA9" w:rsidP="0057182A">
      <w:pPr>
        <w:ind w:firstLine="0"/>
        <w:jc w:val="left"/>
        <w:rPr>
          <w:rFonts w:ascii="Verdana" w:hAnsi="Verdana"/>
          <w:sz w:val="20"/>
        </w:rPr>
      </w:pPr>
      <w:r w:rsidRPr="00375DC0">
        <w:rPr>
          <w:rFonts w:ascii="Verdana" w:hAnsi="Verdana"/>
          <w:sz w:val="20"/>
        </w:rPr>
        <w:t>AASB 10 has provided greater clarification on a number of topics associated with the determination of control including more guidance on principal</w:t>
      </w:r>
      <w:r w:rsidR="000F273D">
        <w:rPr>
          <w:rFonts w:ascii="Verdana" w:hAnsi="Verdana"/>
          <w:sz w:val="20"/>
        </w:rPr>
        <w:t>–</w:t>
      </w:r>
      <w:r w:rsidRPr="00375DC0">
        <w:rPr>
          <w:rFonts w:ascii="Verdana" w:hAnsi="Verdana"/>
          <w:sz w:val="20"/>
        </w:rPr>
        <w:t xml:space="preserve">agent relationships, the determination of </w:t>
      </w:r>
      <w:r w:rsidRPr="00375DC0">
        <w:rPr>
          <w:rFonts w:ascii="Verdana" w:hAnsi="Verdana"/>
          <w:i/>
          <w:sz w:val="20"/>
        </w:rPr>
        <w:t>de facto</w:t>
      </w:r>
      <w:r w:rsidRPr="00375DC0">
        <w:rPr>
          <w:rFonts w:ascii="Verdana" w:hAnsi="Verdana"/>
          <w:sz w:val="20"/>
        </w:rPr>
        <w:t xml:space="preserve"> control, </w:t>
      </w:r>
      <w:r w:rsidR="00D67B6C">
        <w:rPr>
          <w:rFonts w:ascii="Verdana" w:hAnsi="Verdana"/>
          <w:sz w:val="20"/>
        </w:rPr>
        <w:t xml:space="preserve">and </w:t>
      </w:r>
      <w:r w:rsidRPr="00375DC0">
        <w:rPr>
          <w:rFonts w:ascii="Verdana" w:hAnsi="Verdana"/>
          <w:sz w:val="20"/>
        </w:rPr>
        <w:t>guidance on the application of the control concept in the context of the not-for-profit sector.</w:t>
      </w:r>
    </w:p>
    <w:p w:rsidR="002E290D" w:rsidRPr="00375DC0" w:rsidRDefault="002E290D" w:rsidP="0057182A">
      <w:pPr>
        <w:pStyle w:val="NumBold2"/>
        <w:spacing w:before="60" w:after="0" w:line="240" w:lineRule="auto"/>
        <w:ind w:left="0" w:firstLine="0"/>
        <w:rPr>
          <w:rFonts w:ascii="Verdana" w:hAnsi="Verdana"/>
          <w:b w:val="0"/>
          <w:lang w:eastAsia="en-AU"/>
        </w:rPr>
      </w:pPr>
    </w:p>
    <w:p w:rsidR="006D39F0" w:rsidRPr="00375DC0" w:rsidRDefault="006D39F0" w:rsidP="0057182A">
      <w:pPr>
        <w:ind w:firstLine="0"/>
        <w:jc w:val="left"/>
        <w:rPr>
          <w:rFonts w:ascii="Verdana" w:hAnsi="Verdana"/>
          <w:sz w:val="20"/>
        </w:rPr>
      </w:pPr>
    </w:p>
    <w:p w:rsidR="00F931DF" w:rsidRPr="004F0AA8" w:rsidRDefault="0057595D" w:rsidP="0057182A">
      <w:pPr>
        <w:ind w:firstLine="0"/>
        <w:jc w:val="left"/>
        <w:rPr>
          <w:rFonts w:ascii="Verdana" w:hAnsi="Verdana"/>
          <w:b/>
          <w:i/>
          <w:sz w:val="20"/>
        </w:rPr>
      </w:pPr>
      <w:r w:rsidRPr="004F0AA8">
        <w:rPr>
          <w:rFonts w:ascii="Verdana" w:hAnsi="Verdana"/>
          <w:b/>
          <w:i/>
          <w:sz w:val="20"/>
        </w:rPr>
        <w:t>Q</w:t>
      </w:r>
      <w:r w:rsidR="00F931DF" w:rsidRPr="004F0AA8">
        <w:rPr>
          <w:rFonts w:ascii="Verdana" w:hAnsi="Verdana"/>
          <w:b/>
          <w:i/>
          <w:sz w:val="20"/>
        </w:rPr>
        <w:t xml:space="preserve">1.7 Special Purpose Entities (SPEs) </w:t>
      </w:r>
      <w:r w:rsidR="00F931DF" w:rsidRPr="00A21D35">
        <w:rPr>
          <w:rFonts w:ascii="Verdana" w:hAnsi="Verdana"/>
          <w:b/>
          <w:i/>
          <w:sz w:val="20"/>
        </w:rPr>
        <w:t>(Section 1.5.5)</w:t>
      </w:r>
    </w:p>
    <w:p w:rsidR="00F931DF" w:rsidRPr="00375DC0" w:rsidRDefault="00F931DF" w:rsidP="0057182A">
      <w:pPr>
        <w:ind w:firstLine="0"/>
        <w:jc w:val="left"/>
        <w:rPr>
          <w:rFonts w:ascii="Verdana" w:hAnsi="Verdana"/>
          <w:sz w:val="20"/>
        </w:rPr>
      </w:pPr>
    </w:p>
    <w:p w:rsidR="00F931DF" w:rsidRPr="00375DC0" w:rsidRDefault="00F931DF" w:rsidP="0057182A">
      <w:pPr>
        <w:ind w:firstLine="0"/>
        <w:jc w:val="left"/>
        <w:rPr>
          <w:rFonts w:ascii="Verdana" w:hAnsi="Verdana"/>
          <w:sz w:val="20"/>
        </w:rPr>
      </w:pPr>
      <w:r w:rsidRPr="00375DC0">
        <w:rPr>
          <w:rFonts w:ascii="Verdana" w:hAnsi="Verdana"/>
          <w:sz w:val="20"/>
        </w:rPr>
        <w:t>As their name implies, Special Purpose Entities (SPEs) are entities such as trusts or companies that are created for a specific purpose and to exist separately from the entity that created them. In the text, the example was provided of SPEs created to allow financial institutions like banks to ‘securitise’ certain types of financial assets which could then be on-sold via the SPE to third</w:t>
      </w:r>
      <w:r w:rsidR="00A42F50">
        <w:rPr>
          <w:rFonts w:ascii="Verdana" w:hAnsi="Verdana"/>
          <w:sz w:val="20"/>
        </w:rPr>
        <w:t>-</w:t>
      </w:r>
      <w:r w:rsidRPr="00375DC0">
        <w:rPr>
          <w:rFonts w:ascii="Verdana" w:hAnsi="Verdana"/>
          <w:sz w:val="20"/>
        </w:rPr>
        <w:t>party investors</w:t>
      </w:r>
      <w:r w:rsidR="00A42F50">
        <w:rPr>
          <w:rFonts w:ascii="Verdana" w:hAnsi="Verdana"/>
          <w:sz w:val="20"/>
        </w:rPr>
        <w:t xml:space="preserve">. </w:t>
      </w:r>
      <w:r w:rsidRPr="00375DC0">
        <w:rPr>
          <w:rFonts w:ascii="Verdana" w:hAnsi="Verdana"/>
          <w:sz w:val="20"/>
        </w:rPr>
        <w:t>The SPE is primarily a vehicle through which the bank transfers its interests and the risks associated with the financial assets to the third</w:t>
      </w:r>
      <w:r w:rsidR="00A42F50">
        <w:rPr>
          <w:rFonts w:ascii="Verdana" w:hAnsi="Verdana"/>
          <w:sz w:val="20"/>
        </w:rPr>
        <w:t>-</w:t>
      </w:r>
      <w:r w:rsidRPr="00375DC0">
        <w:rPr>
          <w:rFonts w:ascii="Verdana" w:hAnsi="Verdana"/>
          <w:sz w:val="20"/>
        </w:rPr>
        <w:t>party investors</w:t>
      </w:r>
      <w:r w:rsidR="00A42F50">
        <w:rPr>
          <w:rFonts w:ascii="Verdana" w:hAnsi="Verdana"/>
          <w:sz w:val="20"/>
        </w:rPr>
        <w:t xml:space="preserve">. </w:t>
      </w:r>
      <w:r w:rsidRPr="00375DC0">
        <w:rPr>
          <w:rFonts w:ascii="Verdana" w:hAnsi="Verdana"/>
          <w:sz w:val="20"/>
        </w:rPr>
        <w:t xml:space="preserve">By using </w:t>
      </w:r>
      <w:r w:rsidRPr="00375DC0">
        <w:rPr>
          <w:rFonts w:ascii="Verdana" w:hAnsi="Verdana"/>
          <w:sz w:val="20"/>
        </w:rPr>
        <w:lastRenderedPageBreak/>
        <w:t>the SPE</w:t>
      </w:r>
      <w:r w:rsidR="00A42F50">
        <w:rPr>
          <w:rFonts w:ascii="Verdana" w:hAnsi="Verdana"/>
          <w:sz w:val="20"/>
        </w:rPr>
        <w:t>,</w:t>
      </w:r>
      <w:r w:rsidRPr="00375DC0">
        <w:rPr>
          <w:rFonts w:ascii="Verdana" w:hAnsi="Verdana"/>
          <w:sz w:val="20"/>
        </w:rPr>
        <w:t xml:space="preserve"> the bank seeks to argue that it has ‘sold’ the financial assets to the SPE and so no longer has any responsibility should the financial assets become impaired. </w:t>
      </w:r>
      <w:r w:rsidR="00DE5405" w:rsidRPr="00375DC0">
        <w:rPr>
          <w:rFonts w:ascii="Verdana" w:hAnsi="Verdana"/>
          <w:sz w:val="20"/>
        </w:rPr>
        <w:t>The banks argue that the SPE is a separate entity over which the bank has no control (this argument is often based on the SPE being created using a constitution that is on ‘auto-pilot’ and so the bank is not involved in the day-to-day running of the SPE).</w:t>
      </w:r>
    </w:p>
    <w:p w:rsidR="00F931DF" w:rsidRPr="00375DC0" w:rsidRDefault="00F931DF" w:rsidP="0057182A">
      <w:pPr>
        <w:ind w:firstLine="0"/>
        <w:jc w:val="left"/>
        <w:rPr>
          <w:rFonts w:ascii="Verdana" w:hAnsi="Verdana"/>
          <w:sz w:val="20"/>
        </w:rPr>
      </w:pPr>
    </w:p>
    <w:p w:rsidR="00F931DF" w:rsidRPr="00375DC0" w:rsidRDefault="00F931DF" w:rsidP="0057182A">
      <w:pPr>
        <w:ind w:firstLine="0"/>
        <w:jc w:val="left"/>
        <w:rPr>
          <w:rFonts w:ascii="Verdana" w:hAnsi="Verdana"/>
          <w:sz w:val="20"/>
        </w:rPr>
      </w:pPr>
      <w:r w:rsidRPr="00375DC0">
        <w:rPr>
          <w:rFonts w:ascii="Verdana" w:hAnsi="Verdana"/>
          <w:sz w:val="20"/>
        </w:rPr>
        <w:t xml:space="preserve">Although using SPEs in this way can make good economic sense (e.g., the bank can transfer risk and generate cash flows from the sale of the financial assets), </w:t>
      </w:r>
      <w:r w:rsidR="00DE5405" w:rsidRPr="00375DC0">
        <w:rPr>
          <w:rFonts w:ascii="Verdana" w:hAnsi="Verdana"/>
          <w:sz w:val="20"/>
        </w:rPr>
        <w:t>these practices were highly criticised during the Global Financial Crisis because it has been argued that the non-consolidation of SPEs with the financial institutions that created them meant that many investors were misled or uninformed about the riskiness of what they were buying</w:t>
      </w:r>
      <w:r w:rsidR="00A42F50">
        <w:rPr>
          <w:rFonts w:ascii="Verdana" w:hAnsi="Verdana"/>
          <w:sz w:val="20"/>
        </w:rPr>
        <w:t xml:space="preserve">. </w:t>
      </w:r>
      <w:r w:rsidR="00DE5405" w:rsidRPr="00375DC0">
        <w:rPr>
          <w:rFonts w:ascii="Verdana" w:hAnsi="Verdana"/>
          <w:sz w:val="20"/>
        </w:rPr>
        <w:t>IFRS 10 (AASB 10) was issued as a direct response to these criticisms</w:t>
      </w:r>
      <w:r w:rsidR="00A42F50">
        <w:rPr>
          <w:rFonts w:ascii="Verdana" w:hAnsi="Verdana"/>
          <w:sz w:val="20"/>
        </w:rPr>
        <w:t xml:space="preserve">. </w:t>
      </w:r>
      <w:r w:rsidR="00DE5405" w:rsidRPr="00375DC0">
        <w:rPr>
          <w:rFonts w:ascii="Verdana" w:hAnsi="Verdana"/>
          <w:sz w:val="20"/>
        </w:rPr>
        <w:t xml:space="preserve">The new guidance provided in IFRS 10 (AASB 10) is designed to ensure that SPEs can only be left off-balance sheet if the entity that created them does not have control of the SPE (it especially addresses the cases of </w:t>
      </w:r>
      <w:r w:rsidR="00DE5405" w:rsidRPr="00375DC0">
        <w:rPr>
          <w:rFonts w:ascii="Verdana" w:hAnsi="Verdana"/>
          <w:i/>
          <w:sz w:val="20"/>
        </w:rPr>
        <w:t>de facto</w:t>
      </w:r>
      <w:r w:rsidR="00DE5405" w:rsidRPr="00375DC0">
        <w:rPr>
          <w:rFonts w:ascii="Verdana" w:hAnsi="Verdana"/>
          <w:sz w:val="20"/>
        </w:rPr>
        <w:t xml:space="preserve"> control arrangements).</w:t>
      </w:r>
    </w:p>
    <w:p w:rsidR="00F931DF" w:rsidRPr="00375DC0" w:rsidRDefault="00F931DF" w:rsidP="0057182A">
      <w:pPr>
        <w:ind w:firstLine="0"/>
        <w:jc w:val="left"/>
        <w:rPr>
          <w:rFonts w:ascii="Verdana" w:hAnsi="Verdana"/>
          <w:sz w:val="20"/>
        </w:rPr>
      </w:pPr>
    </w:p>
    <w:p w:rsidR="00CE12F3" w:rsidRPr="004F0AA8" w:rsidRDefault="0057595D" w:rsidP="0057182A">
      <w:pPr>
        <w:pStyle w:val="Heading5"/>
        <w:jc w:val="left"/>
        <w:rPr>
          <w:rFonts w:ascii="Verdana" w:hAnsi="Verdana"/>
          <w:i/>
          <w:sz w:val="20"/>
        </w:rPr>
      </w:pPr>
      <w:r w:rsidRPr="004F0AA8">
        <w:rPr>
          <w:rFonts w:ascii="Verdana" w:hAnsi="Verdana"/>
          <w:i/>
          <w:sz w:val="20"/>
        </w:rPr>
        <w:t>Q</w:t>
      </w:r>
      <w:r w:rsidR="00CE12F3" w:rsidRPr="004F0AA8">
        <w:rPr>
          <w:rFonts w:ascii="Verdana" w:hAnsi="Verdana"/>
          <w:i/>
          <w:sz w:val="20"/>
        </w:rPr>
        <w:t>1.</w:t>
      </w:r>
      <w:r w:rsidR="00DE5405" w:rsidRPr="004F0AA8">
        <w:rPr>
          <w:rFonts w:ascii="Verdana" w:hAnsi="Verdana"/>
          <w:i/>
          <w:sz w:val="20"/>
        </w:rPr>
        <w:t xml:space="preserve">8 </w:t>
      </w:r>
      <w:r w:rsidR="00CE12F3" w:rsidRPr="004F0AA8">
        <w:rPr>
          <w:rFonts w:ascii="Verdana" w:hAnsi="Verdana"/>
          <w:i/>
          <w:sz w:val="20"/>
        </w:rPr>
        <w:t>When consolidated financial statements must be prepared</w:t>
      </w:r>
      <w:r w:rsidR="00CE12F3" w:rsidRPr="00A21D35">
        <w:rPr>
          <w:rFonts w:ascii="Verdana" w:hAnsi="Verdana"/>
          <w:i/>
          <w:sz w:val="20"/>
        </w:rPr>
        <w:t xml:space="preserve"> (Section 1.</w:t>
      </w:r>
      <w:r w:rsidR="00B23F8A" w:rsidRPr="00A21D35">
        <w:rPr>
          <w:rFonts w:ascii="Verdana" w:hAnsi="Verdana"/>
          <w:i/>
          <w:sz w:val="20"/>
        </w:rPr>
        <w:t>6</w:t>
      </w:r>
      <w:r w:rsidR="00CE12F3" w:rsidRPr="00A21D35">
        <w:rPr>
          <w:rFonts w:ascii="Verdana" w:hAnsi="Verdana"/>
          <w:i/>
          <w:sz w:val="20"/>
        </w:rPr>
        <w:t>.1)</w:t>
      </w:r>
    </w:p>
    <w:p w:rsidR="00CE12F3" w:rsidRPr="00375DC0" w:rsidRDefault="00CE12F3" w:rsidP="0057182A">
      <w:pPr>
        <w:ind w:firstLine="0"/>
        <w:jc w:val="left"/>
        <w:rPr>
          <w:rFonts w:ascii="Verdana" w:hAnsi="Verdana"/>
          <w:b/>
          <w:sz w:val="20"/>
        </w:rPr>
      </w:pPr>
    </w:p>
    <w:p w:rsidR="00CE12F3" w:rsidRPr="00375DC0" w:rsidRDefault="00CE12F3" w:rsidP="0057182A">
      <w:pPr>
        <w:widowControl/>
        <w:autoSpaceDE w:val="0"/>
        <w:autoSpaceDN w:val="0"/>
        <w:adjustRightInd w:val="0"/>
        <w:ind w:firstLine="0"/>
        <w:jc w:val="left"/>
        <w:rPr>
          <w:rFonts w:ascii="Verdana" w:hAnsi="Verdana"/>
          <w:sz w:val="20"/>
        </w:rPr>
      </w:pPr>
      <w:r w:rsidRPr="00375DC0">
        <w:rPr>
          <w:rFonts w:ascii="Verdana" w:hAnsi="Verdana"/>
          <w:sz w:val="20"/>
        </w:rPr>
        <w:t>For a detailed discussion on which entities must prepare consolidated financial statements</w:t>
      </w:r>
      <w:r w:rsidR="0057182A">
        <w:rPr>
          <w:rFonts w:ascii="Verdana" w:hAnsi="Verdana"/>
          <w:sz w:val="20"/>
        </w:rPr>
        <w:t>,</w:t>
      </w:r>
      <w:r w:rsidRPr="00375DC0">
        <w:rPr>
          <w:rFonts w:ascii="Verdana" w:hAnsi="Verdana"/>
          <w:sz w:val="20"/>
        </w:rPr>
        <w:t xml:space="preserve"> refer to </w:t>
      </w:r>
      <w:r w:rsidR="0057182A">
        <w:rPr>
          <w:rFonts w:ascii="Verdana" w:hAnsi="Verdana"/>
          <w:sz w:val="20"/>
        </w:rPr>
        <w:t>S</w:t>
      </w:r>
      <w:r w:rsidRPr="00375DC0">
        <w:rPr>
          <w:rFonts w:ascii="Verdana" w:hAnsi="Verdana"/>
          <w:sz w:val="20"/>
        </w:rPr>
        <w:t>ection 1.</w:t>
      </w:r>
      <w:r w:rsidR="00B23F8A" w:rsidRPr="00375DC0">
        <w:rPr>
          <w:rFonts w:ascii="Verdana" w:hAnsi="Verdana"/>
          <w:sz w:val="20"/>
        </w:rPr>
        <w:t>6</w:t>
      </w:r>
      <w:r w:rsidRPr="00375DC0">
        <w:rPr>
          <w:rFonts w:ascii="Verdana" w:hAnsi="Verdana"/>
          <w:sz w:val="20"/>
        </w:rPr>
        <w:t>.1 of the text. AASB 1</w:t>
      </w:r>
      <w:r w:rsidR="00B23F8A" w:rsidRPr="00375DC0">
        <w:rPr>
          <w:rFonts w:ascii="Verdana" w:hAnsi="Verdana"/>
          <w:sz w:val="20"/>
        </w:rPr>
        <w:t>0</w:t>
      </w:r>
      <w:r w:rsidRPr="00375DC0">
        <w:rPr>
          <w:rFonts w:ascii="Verdana" w:hAnsi="Verdana"/>
          <w:sz w:val="20"/>
        </w:rPr>
        <w:t xml:space="preserve">.Aus </w:t>
      </w:r>
      <w:r w:rsidR="00B23F8A" w:rsidRPr="00375DC0">
        <w:rPr>
          <w:rFonts w:ascii="Verdana" w:hAnsi="Verdana"/>
          <w:sz w:val="20"/>
        </w:rPr>
        <w:t>3</w:t>
      </w:r>
      <w:r w:rsidRPr="00375DC0">
        <w:rPr>
          <w:rFonts w:ascii="Verdana" w:hAnsi="Verdana"/>
          <w:sz w:val="20"/>
        </w:rPr>
        <w:t>.1 applies to:</w:t>
      </w:r>
    </w:p>
    <w:p w:rsidR="00CE12F3" w:rsidRPr="00375DC0" w:rsidRDefault="00CE12F3" w:rsidP="0057182A">
      <w:pPr>
        <w:widowControl/>
        <w:autoSpaceDE w:val="0"/>
        <w:autoSpaceDN w:val="0"/>
        <w:adjustRightInd w:val="0"/>
        <w:ind w:firstLine="0"/>
        <w:jc w:val="left"/>
        <w:rPr>
          <w:rFonts w:ascii="Verdana" w:hAnsi="Verdana" w:cs="NewCaledonia-Italic"/>
          <w:i/>
          <w:iCs/>
          <w:snapToGrid/>
          <w:sz w:val="20"/>
          <w:lang w:eastAsia="en-AU"/>
        </w:rPr>
      </w:pPr>
    </w:p>
    <w:p w:rsidR="00CE12F3" w:rsidRPr="00375DC0" w:rsidRDefault="00CE12F3" w:rsidP="0057182A">
      <w:pPr>
        <w:widowControl/>
        <w:numPr>
          <w:ilvl w:val="0"/>
          <w:numId w:val="33"/>
        </w:numPr>
        <w:tabs>
          <w:tab w:val="left" w:pos="851"/>
        </w:tabs>
        <w:autoSpaceDE w:val="0"/>
        <w:autoSpaceDN w:val="0"/>
        <w:adjustRightInd w:val="0"/>
        <w:ind w:left="851" w:hanging="425"/>
        <w:jc w:val="left"/>
        <w:rPr>
          <w:rFonts w:ascii="Verdana" w:hAnsi="Verdana"/>
          <w:i/>
          <w:iCs/>
          <w:snapToGrid/>
          <w:sz w:val="20"/>
          <w:lang w:eastAsia="en-AU"/>
        </w:rPr>
      </w:pPr>
      <w:r w:rsidRPr="00375DC0">
        <w:rPr>
          <w:rFonts w:ascii="Verdana" w:hAnsi="Verdana"/>
          <w:i/>
          <w:iCs/>
          <w:snapToGrid/>
          <w:sz w:val="20"/>
          <w:lang w:eastAsia="en-AU"/>
        </w:rPr>
        <w:t>each entity that is required to prepare financial reports in accordance with Part 2M.3 of the Corporations Act and that is a reporting entity</w:t>
      </w:r>
    </w:p>
    <w:p w:rsidR="00CE12F3" w:rsidRPr="00375DC0" w:rsidRDefault="00CE12F3" w:rsidP="0057182A">
      <w:pPr>
        <w:widowControl/>
        <w:numPr>
          <w:ilvl w:val="0"/>
          <w:numId w:val="33"/>
        </w:numPr>
        <w:tabs>
          <w:tab w:val="left" w:pos="851"/>
        </w:tabs>
        <w:autoSpaceDE w:val="0"/>
        <w:autoSpaceDN w:val="0"/>
        <w:adjustRightInd w:val="0"/>
        <w:ind w:left="851" w:hanging="425"/>
        <w:jc w:val="left"/>
        <w:rPr>
          <w:rFonts w:ascii="Verdana" w:hAnsi="Verdana"/>
          <w:i/>
          <w:iCs/>
          <w:snapToGrid/>
          <w:sz w:val="20"/>
          <w:lang w:eastAsia="en-AU"/>
        </w:rPr>
      </w:pPr>
      <w:r w:rsidRPr="00375DC0">
        <w:rPr>
          <w:rFonts w:ascii="Verdana" w:hAnsi="Verdana"/>
          <w:i/>
          <w:iCs/>
          <w:snapToGrid/>
          <w:sz w:val="20"/>
          <w:lang w:eastAsia="en-AU"/>
        </w:rPr>
        <w:t>general purpose financial statements of each other reporting entity, and</w:t>
      </w:r>
    </w:p>
    <w:p w:rsidR="00CE12F3" w:rsidRPr="00375DC0" w:rsidRDefault="00CE12F3" w:rsidP="0057182A">
      <w:pPr>
        <w:widowControl/>
        <w:numPr>
          <w:ilvl w:val="0"/>
          <w:numId w:val="33"/>
        </w:numPr>
        <w:tabs>
          <w:tab w:val="left" w:pos="851"/>
        </w:tabs>
        <w:autoSpaceDE w:val="0"/>
        <w:autoSpaceDN w:val="0"/>
        <w:adjustRightInd w:val="0"/>
        <w:ind w:left="851" w:hanging="425"/>
        <w:jc w:val="left"/>
        <w:rPr>
          <w:rFonts w:ascii="Verdana" w:hAnsi="Verdana"/>
          <w:i/>
          <w:iCs/>
          <w:snapToGrid/>
          <w:sz w:val="20"/>
          <w:lang w:eastAsia="en-AU"/>
        </w:rPr>
      </w:pPr>
      <w:r w:rsidRPr="00375DC0">
        <w:rPr>
          <w:rFonts w:ascii="Verdana" w:hAnsi="Verdana"/>
          <w:i/>
          <w:iCs/>
          <w:snapToGrid/>
          <w:sz w:val="20"/>
          <w:lang w:eastAsia="en-AU"/>
        </w:rPr>
        <w:t>financial statements that are, or are held out to be, general purpose financial</w:t>
      </w:r>
      <w:r w:rsidR="006D39F0" w:rsidRPr="00375DC0">
        <w:rPr>
          <w:rFonts w:ascii="Verdana" w:hAnsi="Verdana"/>
          <w:i/>
          <w:iCs/>
          <w:snapToGrid/>
          <w:sz w:val="20"/>
          <w:lang w:eastAsia="en-AU"/>
        </w:rPr>
        <w:t xml:space="preserve"> </w:t>
      </w:r>
      <w:r w:rsidRPr="00375DC0">
        <w:rPr>
          <w:rFonts w:ascii="Verdana" w:hAnsi="Verdana"/>
          <w:i/>
          <w:iCs/>
          <w:snapToGrid/>
          <w:sz w:val="20"/>
          <w:lang w:eastAsia="en-AU"/>
        </w:rPr>
        <w:t>statements</w:t>
      </w:r>
      <w:r w:rsidR="006D39F0" w:rsidRPr="00375DC0">
        <w:rPr>
          <w:rFonts w:ascii="Verdana" w:hAnsi="Verdana"/>
          <w:i/>
          <w:iCs/>
          <w:snapToGrid/>
          <w:sz w:val="20"/>
          <w:lang w:eastAsia="en-AU"/>
        </w:rPr>
        <w:t>.</w:t>
      </w:r>
    </w:p>
    <w:p w:rsidR="00CE12F3" w:rsidRPr="00375DC0" w:rsidRDefault="00CE12F3" w:rsidP="0057182A">
      <w:pPr>
        <w:ind w:firstLine="0"/>
        <w:jc w:val="left"/>
        <w:rPr>
          <w:rFonts w:ascii="Verdana" w:hAnsi="Verdana"/>
          <w:i/>
          <w:iCs/>
          <w:snapToGrid/>
          <w:sz w:val="20"/>
          <w:lang w:eastAsia="en-AU"/>
        </w:rPr>
      </w:pPr>
    </w:p>
    <w:p w:rsidR="00CE12F3" w:rsidRPr="00375DC0" w:rsidRDefault="00CE12F3" w:rsidP="0057182A">
      <w:pPr>
        <w:ind w:firstLine="0"/>
        <w:jc w:val="left"/>
        <w:rPr>
          <w:rFonts w:ascii="Verdana" w:hAnsi="Verdana"/>
          <w:sz w:val="20"/>
        </w:rPr>
      </w:pPr>
      <w:r w:rsidRPr="00375DC0">
        <w:rPr>
          <w:rFonts w:ascii="Verdana" w:hAnsi="Verdana"/>
          <w:sz w:val="20"/>
        </w:rPr>
        <w:t>Chapter 2M.3 s</w:t>
      </w:r>
      <w:r w:rsidR="00DE0FBB">
        <w:rPr>
          <w:rFonts w:ascii="Verdana" w:hAnsi="Verdana"/>
          <w:sz w:val="20"/>
        </w:rPr>
        <w:t xml:space="preserve">. </w:t>
      </w:r>
      <w:r w:rsidRPr="00375DC0">
        <w:rPr>
          <w:rFonts w:ascii="Verdana" w:hAnsi="Verdana"/>
          <w:sz w:val="20"/>
        </w:rPr>
        <w:t>292 states:</w:t>
      </w:r>
    </w:p>
    <w:p w:rsidR="00CE12F3" w:rsidRPr="00375DC0" w:rsidRDefault="006D39F0" w:rsidP="0057182A">
      <w:pPr>
        <w:ind w:left="426" w:hanging="426"/>
        <w:jc w:val="left"/>
        <w:rPr>
          <w:rFonts w:ascii="Verdana" w:hAnsi="Verdana"/>
          <w:i/>
          <w:sz w:val="20"/>
        </w:rPr>
      </w:pPr>
      <w:r w:rsidRPr="00375DC0">
        <w:rPr>
          <w:rFonts w:ascii="Verdana" w:hAnsi="Verdana"/>
          <w:i/>
          <w:sz w:val="20"/>
        </w:rPr>
        <w:t>(1)</w:t>
      </w:r>
      <w:r w:rsidRPr="00375DC0">
        <w:rPr>
          <w:rFonts w:ascii="Verdana" w:hAnsi="Verdana"/>
          <w:i/>
          <w:sz w:val="20"/>
        </w:rPr>
        <w:tab/>
      </w:r>
      <w:r w:rsidR="00CE12F3" w:rsidRPr="00375DC0">
        <w:rPr>
          <w:rFonts w:ascii="Verdana" w:hAnsi="Verdana"/>
          <w:i/>
          <w:sz w:val="20"/>
        </w:rPr>
        <w:t xml:space="preserve">A </w:t>
      </w:r>
      <w:hyperlink r:id="rId10" w:anchor="financial_report" w:history="1">
        <w:r w:rsidR="00CE12F3" w:rsidRPr="00375DC0">
          <w:rPr>
            <w:rStyle w:val="Hyperlink"/>
            <w:rFonts w:ascii="Verdana" w:hAnsi="Verdana"/>
            <w:i/>
            <w:color w:val="auto"/>
            <w:sz w:val="20"/>
            <w:u w:val="none"/>
          </w:rPr>
          <w:t>financial report</w:t>
        </w:r>
      </w:hyperlink>
      <w:r w:rsidR="00CE12F3" w:rsidRPr="00375DC0">
        <w:rPr>
          <w:rFonts w:ascii="Verdana" w:hAnsi="Verdana"/>
          <w:i/>
          <w:sz w:val="20"/>
        </w:rPr>
        <w:t xml:space="preserve"> and a </w:t>
      </w:r>
      <w:hyperlink r:id="rId11" w:anchor="director" w:history="1">
        <w:r w:rsidR="00CE12F3" w:rsidRPr="00375DC0">
          <w:rPr>
            <w:rStyle w:val="Hyperlink"/>
            <w:rFonts w:ascii="Verdana" w:hAnsi="Verdana"/>
            <w:i/>
            <w:color w:val="auto"/>
            <w:sz w:val="20"/>
            <w:u w:val="none"/>
          </w:rPr>
          <w:t>directors</w:t>
        </w:r>
      </w:hyperlink>
      <w:r w:rsidR="00CE12F3" w:rsidRPr="00375DC0">
        <w:rPr>
          <w:rFonts w:ascii="Verdana" w:hAnsi="Verdana"/>
          <w:i/>
          <w:sz w:val="20"/>
        </w:rPr>
        <w:t xml:space="preserve">' report must be prepared for each </w:t>
      </w:r>
      <w:hyperlink r:id="rId12" w:anchor="financial_year" w:history="1">
        <w:r w:rsidR="00CE12F3" w:rsidRPr="00375DC0">
          <w:rPr>
            <w:rStyle w:val="Hyperlink"/>
            <w:rFonts w:ascii="Verdana" w:hAnsi="Verdana"/>
            <w:i/>
            <w:color w:val="auto"/>
            <w:sz w:val="20"/>
            <w:u w:val="none"/>
          </w:rPr>
          <w:t>financial year</w:t>
        </w:r>
      </w:hyperlink>
      <w:r w:rsidR="00CE12F3" w:rsidRPr="00375DC0">
        <w:rPr>
          <w:rFonts w:ascii="Verdana" w:hAnsi="Verdana"/>
          <w:i/>
          <w:sz w:val="20"/>
        </w:rPr>
        <w:t xml:space="preserve"> by: </w:t>
      </w:r>
    </w:p>
    <w:p w:rsidR="00B9110E" w:rsidRPr="00375DC0" w:rsidRDefault="00CE12F3" w:rsidP="0057182A">
      <w:pPr>
        <w:widowControl/>
        <w:numPr>
          <w:ilvl w:val="0"/>
          <w:numId w:val="35"/>
        </w:numPr>
        <w:tabs>
          <w:tab w:val="left" w:pos="851"/>
        </w:tabs>
        <w:autoSpaceDE w:val="0"/>
        <w:autoSpaceDN w:val="0"/>
        <w:adjustRightInd w:val="0"/>
        <w:jc w:val="left"/>
        <w:rPr>
          <w:rFonts w:ascii="Verdana" w:hAnsi="Verdana"/>
          <w:i/>
          <w:iCs/>
          <w:snapToGrid/>
          <w:sz w:val="20"/>
          <w:lang w:eastAsia="en-AU"/>
        </w:rPr>
      </w:pPr>
      <w:r w:rsidRPr="00375DC0">
        <w:rPr>
          <w:rFonts w:ascii="Verdana" w:hAnsi="Verdana"/>
          <w:i/>
          <w:sz w:val="20"/>
        </w:rPr>
        <w:t xml:space="preserve">all </w:t>
      </w:r>
      <w:r w:rsidRPr="00375DC0">
        <w:rPr>
          <w:rFonts w:ascii="Verdana" w:hAnsi="Verdana"/>
          <w:i/>
          <w:iCs/>
          <w:snapToGrid/>
          <w:sz w:val="20"/>
          <w:lang w:eastAsia="en-AU"/>
        </w:rPr>
        <w:t xml:space="preserve">disclosing entities; and </w:t>
      </w:r>
    </w:p>
    <w:p w:rsidR="00B9110E" w:rsidRPr="00375DC0" w:rsidRDefault="00CE12F3" w:rsidP="0057182A">
      <w:pPr>
        <w:widowControl/>
        <w:numPr>
          <w:ilvl w:val="0"/>
          <w:numId w:val="35"/>
        </w:numPr>
        <w:tabs>
          <w:tab w:val="left" w:pos="851"/>
        </w:tabs>
        <w:autoSpaceDE w:val="0"/>
        <w:autoSpaceDN w:val="0"/>
        <w:adjustRightInd w:val="0"/>
        <w:ind w:left="851" w:hanging="425"/>
        <w:jc w:val="left"/>
        <w:rPr>
          <w:rFonts w:ascii="Verdana" w:hAnsi="Verdana"/>
          <w:i/>
          <w:iCs/>
          <w:snapToGrid/>
          <w:sz w:val="20"/>
          <w:lang w:eastAsia="en-AU"/>
        </w:rPr>
      </w:pPr>
      <w:r w:rsidRPr="00375DC0">
        <w:rPr>
          <w:rFonts w:ascii="Verdana" w:hAnsi="Verdana"/>
          <w:i/>
          <w:iCs/>
          <w:snapToGrid/>
          <w:sz w:val="20"/>
          <w:lang w:eastAsia="en-AU"/>
        </w:rPr>
        <w:t xml:space="preserve">all public companies; and </w:t>
      </w:r>
    </w:p>
    <w:p w:rsidR="00B9110E" w:rsidRPr="00375DC0" w:rsidRDefault="00CE12F3" w:rsidP="0057182A">
      <w:pPr>
        <w:widowControl/>
        <w:numPr>
          <w:ilvl w:val="0"/>
          <w:numId w:val="35"/>
        </w:numPr>
        <w:tabs>
          <w:tab w:val="left" w:pos="851"/>
        </w:tabs>
        <w:autoSpaceDE w:val="0"/>
        <w:autoSpaceDN w:val="0"/>
        <w:adjustRightInd w:val="0"/>
        <w:ind w:left="851" w:hanging="425"/>
        <w:jc w:val="left"/>
        <w:rPr>
          <w:rFonts w:ascii="Verdana" w:hAnsi="Verdana"/>
          <w:i/>
          <w:iCs/>
          <w:snapToGrid/>
          <w:sz w:val="20"/>
          <w:lang w:eastAsia="en-AU"/>
        </w:rPr>
      </w:pPr>
      <w:r w:rsidRPr="00375DC0">
        <w:rPr>
          <w:rFonts w:ascii="Verdana" w:hAnsi="Verdana"/>
          <w:i/>
          <w:iCs/>
          <w:snapToGrid/>
          <w:sz w:val="20"/>
          <w:lang w:eastAsia="en-AU"/>
        </w:rPr>
        <w:t xml:space="preserve">all large proprietary companies; and </w:t>
      </w:r>
    </w:p>
    <w:p w:rsidR="00CE12F3" w:rsidRPr="00375DC0" w:rsidRDefault="00CE12F3" w:rsidP="0057182A">
      <w:pPr>
        <w:widowControl/>
        <w:numPr>
          <w:ilvl w:val="0"/>
          <w:numId w:val="35"/>
        </w:numPr>
        <w:tabs>
          <w:tab w:val="left" w:pos="851"/>
        </w:tabs>
        <w:autoSpaceDE w:val="0"/>
        <w:autoSpaceDN w:val="0"/>
        <w:adjustRightInd w:val="0"/>
        <w:ind w:left="851" w:hanging="425"/>
        <w:jc w:val="left"/>
        <w:rPr>
          <w:rFonts w:ascii="Verdana" w:hAnsi="Verdana"/>
          <w:i/>
          <w:sz w:val="20"/>
        </w:rPr>
      </w:pPr>
      <w:r w:rsidRPr="00375DC0">
        <w:rPr>
          <w:rFonts w:ascii="Verdana" w:hAnsi="Verdana"/>
          <w:i/>
          <w:iCs/>
          <w:snapToGrid/>
          <w:sz w:val="20"/>
          <w:lang w:eastAsia="en-AU"/>
        </w:rPr>
        <w:t xml:space="preserve">all </w:t>
      </w:r>
      <w:hyperlink r:id="rId13" w:anchor="registered" w:history="1">
        <w:r w:rsidRPr="00375DC0">
          <w:rPr>
            <w:rFonts w:ascii="Verdana" w:hAnsi="Verdana"/>
            <w:iCs/>
            <w:snapToGrid/>
            <w:sz w:val="20"/>
            <w:lang w:eastAsia="en-AU"/>
          </w:rPr>
          <w:t>registered</w:t>
        </w:r>
      </w:hyperlink>
      <w:r w:rsidRPr="00375DC0">
        <w:rPr>
          <w:rFonts w:ascii="Verdana" w:hAnsi="Verdana"/>
          <w:i/>
          <w:sz w:val="20"/>
        </w:rPr>
        <w:t xml:space="preserve"> schemes. </w:t>
      </w:r>
    </w:p>
    <w:p w:rsidR="006D39F0" w:rsidRPr="00375DC0" w:rsidRDefault="006D39F0" w:rsidP="0057182A">
      <w:pPr>
        <w:widowControl/>
        <w:tabs>
          <w:tab w:val="left" w:pos="851"/>
        </w:tabs>
        <w:autoSpaceDE w:val="0"/>
        <w:autoSpaceDN w:val="0"/>
        <w:adjustRightInd w:val="0"/>
        <w:ind w:left="851" w:firstLine="0"/>
        <w:jc w:val="left"/>
        <w:rPr>
          <w:rFonts w:ascii="Verdana" w:hAnsi="Verdana"/>
          <w:i/>
          <w:sz w:val="20"/>
        </w:rPr>
      </w:pPr>
    </w:p>
    <w:p w:rsidR="00CE12F3" w:rsidRPr="00375DC0" w:rsidRDefault="00CE12F3" w:rsidP="0057182A">
      <w:pPr>
        <w:ind w:firstLine="0"/>
        <w:jc w:val="left"/>
        <w:rPr>
          <w:rFonts w:ascii="Verdana" w:hAnsi="Verdana"/>
          <w:i/>
          <w:sz w:val="20"/>
        </w:rPr>
      </w:pPr>
      <w:r w:rsidRPr="00375DC0">
        <w:rPr>
          <w:rFonts w:ascii="Verdana" w:hAnsi="Verdana"/>
          <w:i/>
          <w:sz w:val="20"/>
        </w:rPr>
        <w:t xml:space="preserve">Small proprietary companies </w:t>
      </w:r>
    </w:p>
    <w:p w:rsidR="00CE12F3" w:rsidRPr="00375DC0" w:rsidRDefault="00AA49FB" w:rsidP="0057182A">
      <w:pPr>
        <w:ind w:left="426" w:hanging="426"/>
        <w:jc w:val="left"/>
        <w:rPr>
          <w:rFonts w:ascii="Verdana" w:hAnsi="Verdana"/>
          <w:i/>
          <w:sz w:val="20"/>
        </w:rPr>
      </w:pPr>
      <w:r w:rsidRPr="00375DC0">
        <w:rPr>
          <w:rFonts w:ascii="Verdana" w:hAnsi="Verdana"/>
          <w:i/>
          <w:sz w:val="20"/>
        </w:rPr>
        <w:t xml:space="preserve"> </w:t>
      </w:r>
      <w:r w:rsidR="006D39F0" w:rsidRPr="00375DC0">
        <w:rPr>
          <w:rFonts w:ascii="Verdana" w:hAnsi="Verdana"/>
          <w:i/>
          <w:sz w:val="20"/>
        </w:rPr>
        <w:t>(2)</w:t>
      </w:r>
      <w:r w:rsidR="006D39F0" w:rsidRPr="00375DC0">
        <w:rPr>
          <w:rFonts w:ascii="Verdana" w:hAnsi="Verdana"/>
          <w:i/>
          <w:sz w:val="20"/>
        </w:rPr>
        <w:tab/>
      </w:r>
      <w:r w:rsidR="00CE12F3" w:rsidRPr="00375DC0">
        <w:rPr>
          <w:rFonts w:ascii="Verdana" w:hAnsi="Verdana"/>
          <w:i/>
          <w:sz w:val="20"/>
        </w:rPr>
        <w:t xml:space="preserve">A </w:t>
      </w:r>
      <w:r w:rsidR="00CE12F3" w:rsidRPr="00375DC0">
        <w:rPr>
          <w:rStyle w:val="Hyperlink"/>
          <w:rFonts w:ascii="Verdana" w:hAnsi="Verdana"/>
          <w:color w:val="auto"/>
          <w:sz w:val="20"/>
          <w:u w:val="none"/>
        </w:rPr>
        <w:t>small</w:t>
      </w:r>
      <w:r w:rsidR="00CE12F3" w:rsidRPr="00375DC0">
        <w:rPr>
          <w:rFonts w:ascii="Verdana" w:hAnsi="Verdana"/>
          <w:i/>
          <w:sz w:val="20"/>
        </w:rPr>
        <w:t xml:space="preserve"> proprietary </w:t>
      </w:r>
      <w:hyperlink r:id="rId14" w:anchor="company" w:history="1">
        <w:r w:rsidR="00CE12F3" w:rsidRPr="00375DC0">
          <w:rPr>
            <w:rStyle w:val="Hyperlink"/>
            <w:rFonts w:ascii="Verdana" w:hAnsi="Verdana"/>
            <w:i/>
            <w:color w:val="auto"/>
            <w:sz w:val="20"/>
            <w:u w:val="none"/>
          </w:rPr>
          <w:t>company</w:t>
        </w:r>
      </w:hyperlink>
      <w:r w:rsidR="00CE12F3" w:rsidRPr="00375DC0">
        <w:rPr>
          <w:rFonts w:ascii="Verdana" w:hAnsi="Verdana"/>
          <w:i/>
          <w:sz w:val="20"/>
        </w:rPr>
        <w:t xml:space="preserve"> has to prepare the </w:t>
      </w:r>
      <w:hyperlink r:id="rId15" w:anchor="financial_report" w:history="1">
        <w:r w:rsidR="00CE12F3" w:rsidRPr="00375DC0">
          <w:rPr>
            <w:rStyle w:val="Hyperlink"/>
            <w:rFonts w:ascii="Verdana" w:hAnsi="Verdana"/>
            <w:i/>
            <w:color w:val="auto"/>
            <w:sz w:val="20"/>
            <w:u w:val="none"/>
          </w:rPr>
          <w:t>financial report</w:t>
        </w:r>
      </w:hyperlink>
      <w:r w:rsidR="00CE12F3" w:rsidRPr="00375DC0">
        <w:rPr>
          <w:rFonts w:ascii="Verdana" w:hAnsi="Verdana"/>
          <w:i/>
          <w:sz w:val="20"/>
        </w:rPr>
        <w:t xml:space="preserve"> and </w:t>
      </w:r>
      <w:hyperlink r:id="rId16" w:anchor="director" w:history="1">
        <w:r w:rsidR="00CE12F3" w:rsidRPr="00375DC0">
          <w:rPr>
            <w:rStyle w:val="Hyperlink"/>
            <w:rFonts w:ascii="Verdana" w:hAnsi="Verdana"/>
            <w:i/>
            <w:color w:val="auto"/>
            <w:sz w:val="20"/>
            <w:u w:val="none"/>
          </w:rPr>
          <w:t>directors</w:t>
        </w:r>
      </w:hyperlink>
      <w:r w:rsidR="00CE12F3" w:rsidRPr="00375DC0">
        <w:rPr>
          <w:rFonts w:ascii="Verdana" w:hAnsi="Verdana"/>
          <w:i/>
          <w:sz w:val="20"/>
        </w:rPr>
        <w:t xml:space="preserve">' report only if: </w:t>
      </w:r>
    </w:p>
    <w:p w:rsidR="00CE12F3" w:rsidRPr="00375DC0" w:rsidRDefault="00CE12F3" w:rsidP="0057182A">
      <w:pPr>
        <w:widowControl/>
        <w:numPr>
          <w:ilvl w:val="0"/>
          <w:numId w:val="36"/>
        </w:numPr>
        <w:tabs>
          <w:tab w:val="left" w:pos="851"/>
        </w:tabs>
        <w:autoSpaceDE w:val="0"/>
        <w:autoSpaceDN w:val="0"/>
        <w:adjustRightInd w:val="0"/>
        <w:jc w:val="left"/>
        <w:rPr>
          <w:rFonts w:ascii="Verdana" w:hAnsi="Verdana"/>
          <w:i/>
          <w:iCs/>
          <w:snapToGrid/>
          <w:sz w:val="20"/>
          <w:lang w:eastAsia="en-AU"/>
        </w:rPr>
      </w:pPr>
      <w:r w:rsidRPr="00375DC0">
        <w:rPr>
          <w:rFonts w:ascii="Verdana" w:hAnsi="Verdana"/>
          <w:i/>
          <w:sz w:val="20"/>
        </w:rPr>
        <w:t xml:space="preserve">it is </w:t>
      </w:r>
      <w:r w:rsidRPr="00375DC0">
        <w:rPr>
          <w:rFonts w:ascii="Verdana" w:hAnsi="Verdana"/>
          <w:i/>
          <w:iCs/>
          <w:snapToGrid/>
          <w:sz w:val="20"/>
          <w:lang w:eastAsia="en-AU"/>
        </w:rPr>
        <w:t xml:space="preserve">directed to do so under </w:t>
      </w:r>
      <w:hyperlink r:id="rId17" w:history="1">
        <w:r w:rsidRPr="00375DC0">
          <w:rPr>
            <w:rFonts w:ascii="Verdana" w:hAnsi="Verdana"/>
            <w:iCs/>
            <w:snapToGrid/>
            <w:sz w:val="20"/>
            <w:lang w:eastAsia="en-AU"/>
          </w:rPr>
          <w:t>section 293</w:t>
        </w:r>
      </w:hyperlink>
      <w:r w:rsidRPr="00375DC0">
        <w:rPr>
          <w:rFonts w:ascii="Verdana" w:hAnsi="Verdana"/>
          <w:i/>
          <w:iCs/>
          <w:snapToGrid/>
          <w:sz w:val="20"/>
          <w:lang w:eastAsia="en-AU"/>
        </w:rPr>
        <w:t xml:space="preserve"> or </w:t>
      </w:r>
      <w:hyperlink r:id="rId18" w:history="1">
        <w:r w:rsidRPr="00375DC0">
          <w:rPr>
            <w:rFonts w:ascii="Verdana" w:hAnsi="Verdana"/>
            <w:iCs/>
            <w:snapToGrid/>
            <w:sz w:val="20"/>
            <w:lang w:eastAsia="en-AU"/>
          </w:rPr>
          <w:t>294</w:t>
        </w:r>
      </w:hyperlink>
      <w:r w:rsidRPr="00375DC0">
        <w:rPr>
          <w:rFonts w:ascii="Verdana" w:hAnsi="Verdana"/>
          <w:i/>
          <w:iCs/>
          <w:snapToGrid/>
          <w:sz w:val="20"/>
          <w:lang w:eastAsia="en-AU"/>
        </w:rPr>
        <w:t xml:space="preserve">; or </w:t>
      </w:r>
    </w:p>
    <w:p w:rsidR="00CE12F3" w:rsidRPr="00375DC0" w:rsidRDefault="00CE12F3" w:rsidP="0057182A">
      <w:pPr>
        <w:widowControl/>
        <w:numPr>
          <w:ilvl w:val="0"/>
          <w:numId w:val="36"/>
        </w:numPr>
        <w:tabs>
          <w:tab w:val="left" w:pos="851"/>
        </w:tabs>
        <w:autoSpaceDE w:val="0"/>
        <w:autoSpaceDN w:val="0"/>
        <w:adjustRightInd w:val="0"/>
        <w:ind w:left="851" w:hanging="425"/>
        <w:jc w:val="left"/>
        <w:rPr>
          <w:rFonts w:ascii="Verdana" w:hAnsi="Verdana"/>
          <w:i/>
          <w:sz w:val="20"/>
        </w:rPr>
      </w:pPr>
      <w:r w:rsidRPr="00375DC0">
        <w:rPr>
          <w:rFonts w:ascii="Verdana" w:hAnsi="Verdana"/>
          <w:i/>
          <w:iCs/>
          <w:snapToGrid/>
          <w:sz w:val="20"/>
          <w:lang w:eastAsia="en-AU"/>
        </w:rPr>
        <w:t>it was</w:t>
      </w:r>
      <w:r w:rsidRPr="00375DC0">
        <w:rPr>
          <w:rFonts w:ascii="Verdana" w:hAnsi="Verdana"/>
          <w:i/>
          <w:sz w:val="20"/>
        </w:rPr>
        <w:t xml:space="preserve"> </w:t>
      </w:r>
      <w:hyperlink r:id="rId19" w:anchor="control" w:history="1">
        <w:r w:rsidRPr="00375DC0">
          <w:rPr>
            <w:rStyle w:val="Hyperlink"/>
            <w:rFonts w:ascii="Verdana" w:hAnsi="Verdana"/>
            <w:i/>
            <w:color w:val="auto"/>
            <w:sz w:val="20"/>
            <w:u w:val="none"/>
          </w:rPr>
          <w:t>controlled</w:t>
        </w:r>
      </w:hyperlink>
      <w:r w:rsidRPr="00375DC0">
        <w:rPr>
          <w:rFonts w:ascii="Verdana" w:hAnsi="Verdana"/>
          <w:i/>
          <w:sz w:val="20"/>
        </w:rPr>
        <w:t xml:space="preserve"> by a </w:t>
      </w:r>
      <w:hyperlink r:id="rId20" w:anchor="foreign_company" w:history="1">
        <w:r w:rsidRPr="00375DC0">
          <w:rPr>
            <w:rStyle w:val="Hyperlink"/>
            <w:rFonts w:ascii="Verdana" w:hAnsi="Verdana"/>
            <w:i/>
            <w:color w:val="auto"/>
            <w:sz w:val="20"/>
            <w:u w:val="none"/>
          </w:rPr>
          <w:t>foreign</w:t>
        </w:r>
      </w:hyperlink>
      <w:r w:rsidRPr="00375DC0">
        <w:rPr>
          <w:rFonts w:ascii="Verdana" w:hAnsi="Verdana"/>
          <w:i/>
          <w:sz w:val="20"/>
        </w:rPr>
        <w:t xml:space="preserve"> </w:t>
      </w:r>
      <w:hyperlink r:id="rId21" w:anchor="foreign_company" w:history="1">
        <w:r w:rsidRPr="00375DC0">
          <w:rPr>
            <w:rStyle w:val="Hyperlink"/>
            <w:rFonts w:ascii="Verdana" w:hAnsi="Verdana"/>
            <w:i/>
            <w:color w:val="auto"/>
            <w:sz w:val="20"/>
            <w:u w:val="none"/>
          </w:rPr>
          <w:t>company</w:t>
        </w:r>
      </w:hyperlink>
      <w:r w:rsidRPr="00375DC0">
        <w:rPr>
          <w:rFonts w:ascii="Verdana" w:hAnsi="Verdana"/>
          <w:i/>
          <w:sz w:val="20"/>
        </w:rPr>
        <w:t xml:space="preserve"> for all or part of the year and it is not consolidated for that period in </w:t>
      </w:r>
      <w:hyperlink r:id="rId22" w:anchor="financial_statements" w:history="1">
        <w:r w:rsidRPr="00375DC0">
          <w:rPr>
            <w:rStyle w:val="Hyperlink"/>
            <w:rFonts w:ascii="Verdana" w:hAnsi="Verdana"/>
            <w:i/>
            <w:color w:val="auto"/>
            <w:sz w:val="20"/>
            <w:u w:val="none"/>
          </w:rPr>
          <w:t>financial statements</w:t>
        </w:r>
      </w:hyperlink>
      <w:r w:rsidRPr="00375DC0">
        <w:rPr>
          <w:rFonts w:ascii="Verdana" w:hAnsi="Verdana"/>
          <w:i/>
          <w:sz w:val="20"/>
        </w:rPr>
        <w:t xml:space="preserve"> for that year </w:t>
      </w:r>
      <w:hyperlink r:id="rId23" w:anchor="lodge" w:history="1">
        <w:r w:rsidRPr="00375DC0">
          <w:rPr>
            <w:rStyle w:val="Hyperlink"/>
            <w:rFonts w:ascii="Verdana" w:hAnsi="Verdana"/>
            <w:i/>
            <w:color w:val="auto"/>
            <w:sz w:val="20"/>
            <w:u w:val="none"/>
          </w:rPr>
          <w:t>lodged</w:t>
        </w:r>
      </w:hyperlink>
      <w:r w:rsidRPr="00375DC0">
        <w:rPr>
          <w:rFonts w:ascii="Verdana" w:hAnsi="Verdana"/>
          <w:i/>
          <w:sz w:val="20"/>
        </w:rPr>
        <w:t xml:space="preserve"> with </w:t>
      </w:r>
      <w:hyperlink r:id="rId24" w:anchor="asic" w:history="1">
        <w:r w:rsidRPr="00375DC0">
          <w:rPr>
            <w:rStyle w:val="Hyperlink"/>
            <w:rFonts w:ascii="Verdana" w:hAnsi="Verdana"/>
            <w:i/>
            <w:color w:val="auto"/>
            <w:sz w:val="20"/>
            <w:u w:val="none"/>
          </w:rPr>
          <w:t>ASIC</w:t>
        </w:r>
      </w:hyperlink>
      <w:r w:rsidRPr="00375DC0">
        <w:rPr>
          <w:rFonts w:ascii="Verdana" w:hAnsi="Verdana"/>
          <w:i/>
          <w:sz w:val="20"/>
        </w:rPr>
        <w:t xml:space="preserve"> by: </w:t>
      </w:r>
    </w:p>
    <w:p w:rsidR="00CE12F3" w:rsidRPr="00375DC0" w:rsidRDefault="00CE12F3" w:rsidP="0057182A">
      <w:pPr>
        <w:tabs>
          <w:tab w:val="left" w:pos="1276"/>
        </w:tabs>
        <w:ind w:firstLine="851"/>
        <w:jc w:val="left"/>
        <w:rPr>
          <w:rFonts w:ascii="Verdana" w:hAnsi="Verdana"/>
          <w:i/>
          <w:sz w:val="20"/>
        </w:rPr>
      </w:pPr>
      <w:r w:rsidRPr="00375DC0">
        <w:rPr>
          <w:rFonts w:ascii="Verdana" w:hAnsi="Verdana"/>
          <w:i/>
          <w:sz w:val="20"/>
        </w:rPr>
        <w:t>(i)</w:t>
      </w:r>
      <w:r w:rsidR="006D39F0" w:rsidRPr="00375DC0">
        <w:rPr>
          <w:rFonts w:ascii="Verdana" w:hAnsi="Verdana"/>
          <w:i/>
          <w:sz w:val="20"/>
        </w:rPr>
        <w:tab/>
      </w:r>
      <w:r w:rsidRPr="00375DC0">
        <w:rPr>
          <w:rFonts w:ascii="Verdana" w:hAnsi="Verdana"/>
          <w:i/>
          <w:sz w:val="20"/>
        </w:rPr>
        <w:t xml:space="preserve">a </w:t>
      </w:r>
      <w:hyperlink r:id="rId25" w:anchor="registered" w:history="1">
        <w:r w:rsidRPr="00375DC0">
          <w:rPr>
            <w:rFonts w:ascii="Verdana" w:hAnsi="Verdana"/>
            <w:sz w:val="20"/>
          </w:rPr>
          <w:t>registered</w:t>
        </w:r>
      </w:hyperlink>
      <w:r w:rsidRPr="00375DC0">
        <w:rPr>
          <w:rFonts w:ascii="Verdana" w:hAnsi="Verdana"/>
          <w:i/>
          <w:sz w:val="20"/>
        </w:rPr>
        <w:t xml:space="preserve"> </w:t>
      </w:r>
      <w:hyperlink r:id="rId26" w:anchor="foreign_company" w:history="1">
        <w:r w:rsidRPr="00375DC0">
          <w:rPr>
            <w:rFonts w:ascii="Verdana" w:hAnsi="Verdana"/>
            <w:sz w:val="20"/>
          </w:rPr>
          <w:t>foreign</w:t>
        </w:r>
      </w:hyperlink>
      <w:r w:rsidRPr="00375DC0">
        <w:rPr>
          <w:rFonts w:ascii="Verdana" w:hAnsi="Verdana"/>
          <w:i/>
          <w:sz w:val="20"/>
        </w:rPr>
        <w:t xml:space="preserve"> </w:t>
      </w:r>
      <w:hyperlink r:id="rId27" w:anchor="foreign_company" w:history="1">
        <w:r w:rsidRPr="00375DC0">
          <w:rPr>
            <w:rFonts w:ascii="Verdana" w:hAnsi="Verdana"/>
            <w:sz w:val="20"/>
          </w:rPr>
          <w:t>company</w:t>
        </w:r>
      </w:hyperlink>
      <w:r w:rsidRPr="00375DC0">
        <w:rPr>
          <w:rFonts w:ascii="Verdana" w:hAnsi="Verdana"/>
          <w:i/>
          <w:sz w:val="20"/>
        </w:rPr>
        <w:t xml:space="preserve">; or </w:t>
      </w:r>
    </w:p>
    <w:p w:rsidR="00CE12F3" w:rsidRPr="00375DC0" w:rsidRDefault="00CE12F3" w:rsidP="0057182A">
      <w:pPr>
        <w:tabs>
          <w:tab w:val="left" w:pos="1276"/>
        </w:tabs>
        <w:ind w:firstLine="851"/>
        <w:jc w:val="left"/>
        <w:rPr>
          <w:rFonts w:ascii="Verdana" w:hAnsi="Verdana"/>
          <w:i/>
          <w:sz w:val="20"/>
        </w:rPr>
      </w:pPr>
      <w:r w:rsidRPr="00375DC0">
        <w:rPr>
          <w:rFonts w:ascii="Verdana" w:hAnsi="Verdana"/>
          <w:i/>
          <w:sz w:val="20"/>
        </w:rPr>
        <w:t>(ii)</w:t>
      </w:r>
      <w:r w:rsidR="006D39F0" w:rsidRPr="00375DC0">
        <w:rPr>
          <w:rFonts w:ascii="Verdana" w:hAnsi="Verdana"/>
          <w:i/>
          <w:sz w:val="20"/>
        </w:rPr>
        <w:tab/>
      </w:r>
      <w:r w:rsidRPr="00375DC0">
        <w:rPr>
          <w:rFonts w:ascii="Verdana" w:hAnsi="Verdana"/>
          <w:i/>
          <w:sz w:val="20"/>
        </w:rPr>
        <w:t xml:space="preserve">a </w:t>
      </w:r>
      <w:hyperlink r:id="rId28" w:anchor="company" w:history="1">
        <w:r w:rsidRPr="00375DC0">
          <w:rPr>
            <w:rFonts w:ascii="Verdana" w:hAnsi="Verdana"/>
            <w:sz w:val="20"/>
          </w:rPr>
          <w:t>company</w:t>
        </w:r>
      </w:hyperlink>
      <w:r w:rsidRPr="00375DC0">
        <w:rPr>
          <w:rFonts w:ascii="Verdana" w:hAnsi="Verdana"/>
          <w:i/>
          <w:sz w:val="20"/>
        </w:rPr>
        <w:t xml:space="preserve">, </w:t>
      </w:r>
      <w:hyperlink r:id="rId29" w:anchor="registered" w:history="1">
        <w:r w:rsidRPr="00375DC0">
          <w:rPr>
            <w:rFonts w:ascii="Verdana" w:hAnsi="Verdana"/>
            <w:sz w:val="20"/>
          </w:rPr>
          <w:t>registered</w:t>
        </w:r>
      </w:hyperlink>
      <w:r w:rsidRPr="00375DC0">
        <w:rPr>
          <w:rFonts w:ascii="Verdana" w:hAnsi="Verdana"/>
          <w:i/>
          <w:sz w:val="20"/>
        </w:rPr>
        <w:t xml:space="preserve"> scheme or </w:t>
      </w:r>
      <w:hyperlink r:id="rId30" w:anchor="disclosing_entity" w:history="1">
        <w:r w:rsidRPr="00375DC0">
          <w:rPr>
            <w:rFonts w:ascii="Verdana" w:hAnsi="Verdana"/>
            <w:sz w:val="20"/>
          </w:rPr>
          <w:t>disclosing entity</w:t>
        </w:r>
      </w:hyperlink>
      <w:r w:rsidRPr="00375DC0">
        <w:rPr>
          <w:rFonts w:ascii="Verdana" w:hAnsi="Verdana"/>
          <w:i/>
          <w:sz w:val="20"/>
        </w:rPr>
        <w:t xml:space="preserve">. </w:t>
      </w:r>
    </w:p>
    <w:p w:rsidR="00CE12F3" w:rsidRPr="00375DC0" w:rsidRDefault="00CE12F3" w:rsidP="0057182A">
      <w:pPr>
        <w:widowControl/>
        <w:autoSpaceDE w:val="0"/>
        <w:autoSpaceDN w:val="0"/>
        <w:adjustRightInd w:val="0"/>
        <w:ind w:firstLine="0"/>
        <w:jc w:val="left"/>
        <w:rPr>
          <w:rFonts w:ascii="Verdana" w:hAnsi="Verdana"/>
          <w:snapToGrid/>
          <w:sz w:val="20"/>
          <w:lang w:eastAsia="en-AU"/>
        </w:rPr>
      </w:pPr>
    </w:p>
    <w:p w:rsidR="00CE12F3" w:rsidRPr="00375DC0" w:rsidRDefault="00CE12F3" w:rsidP="0057182A">
      <w:pPr>
        <w:widowControl/>
        <w:autoSpaceDE w:val="0"/>
        <w:autoSpaceDN w:val="0"/>
        <w:adjustRightInd w:val="0"/>
        <w:ind w:firstLine="0"/>
        <w:jc w:val="left"/>
        <w:rPr>
          <w:rFonts w:ascii="Verdana" w:hAnsi="Verdana"/>
          <w:snapToGrid/>
          <w:sz w:val="20"/>
          <w:lang w:eastAsia="en-AU"/>
        </w:rPr>
      </w:pPr>
      <w:r w:rsidRPr="00375DC0">
        <w:rPr>
          <w:rFonts w:ascii="Verdana" w:hAnsi="Verdana"/>
          <w:snapToGrid/>
          <w:sz w:val="20"/>
          <w:lang w:eastAsia="en-AU"/>
        </w:rPr>
        <w:t>The general requirement to prepare consolidated financial statements is dealt with by AASB 1</w:t>
      </w:r>
      <w:r w:rsidR="00B23F8A" w:rsidRPr="00375DC0">
        <w:rPr>
          <w:rFonts w:ascii="Verdana" w:hAnsi="Verdana"/>
          <w:snapToGrid/>
          <w:sz w:val="20"/>
          <w:lang w:eastAsia="en-AU"/>
        </w:rPr>
        <w:t>0</w:t>
      </w:r>
      <w:r w:rsidRPr="00375DC0">
        <w:rPr>
          <w:rFonts w:ascii="Verdana" w:hAnsi="Verdana"/>
          <w:snapToGrid/>
          <w:sz w:val="20"/>
          <w:lang w:eastAsia="en-AU"/>
        </w:rPr>
        <w:t>.Aus</w:t>
      </w:r>
      <w:r w:rsidR="00B23F8A" w:rsidRPr="00375DC0">
        <w:rPr>
          <w:rFonts w:ascii="Verdana" w:hAnsi="Verdana"/>
          <w:snapToGrid/>
          <w:sz w:val="20"/>
          <w:lang w:eastAsia="en-AU"/>
        </w:rPr>
        <w:t>4.2</w:t>
      </w:r>
      <w:r w:rsidR="004F0AA8">
        <w:rPr>
          <w:rFonts w:ascii="Verdana" w:hAnsi="Verdana"/>
          <w:snapToGrid/>
          <w:sz w:val="20"/>
          <w:lang w:eastAsia="en-AU"/>
        </w:rPr>
        <w:t>.</w:t>
      </w:r>
    </w:p>
    <w:p w:rsidR="00CE12F3" w:rsidRPr="00375DC0" w:rsidRDefault="00CE12F3" w:rsidP="0057182A">
      <w:pPr>
        <w:widowControl/>
        <w:autoSpaceDE w:val="0"/>
        <w:autoSpaceDN w:val="0"/>
        <w:adjustRightInd w:val="0"/>
        <w:ind w:firstLine="0"/>
        <w:jc w:val="left"/>
        <w:rPr>
          <w:rFonts w:ascii="Verdana" w:hAnsi="Verdana"/>
          <w:snapToGrid/>
          <w:sz w:val="20"/>
          <w:lang w:eastAsia="en-AU"/>
        </w:rPr>
      </w:pPr>
    </w:p>
    <w:p w:rsidR="00CE12F3" w:rsidRPr="00375DC0" w:rsidRDefault="00CE12F3" w:rsidP="0057182A">
      <w:pPr>
        <w:ind w:left="432" w:firstLine="0"/>
        <w:jc w:val="left"/>
        <w:rPr>
          <w:rFonts w:ascii="Verdana" w:hAnsi="Verdana"/>
          <w:i/>
          <w:sz w:val="20"/>
        </w:rPr>
      </w:pPr>
      <w:r w:rsidRPr="00375DC0">
        <w:rPr>
          <w:rFonts w:ascii="Verdana" w:hAnsi="Verdana"/>
          <w:i/>
          <w:sz w:val="20"/>
        </w:rPr>
        <w:t>Notwithstanding paragraph</w:t>
      </w:r>
      <w:r w:rsidR="00B23F8A" w:rsidRPr="00375DC0">
        <w:rPr>
          <w:rFonts w:ascii="Verdana" w:hAnsi="Verdana"/>
          <w:i/>
          <w:sz w:val="20"/>
        </w:rPr>
        <w:t>s 4(a) and Aus4.1</w:t>
      </w:r>
      <w:r w:rsidRPr="00375DC0">
        <w:rPr>
          <w:rFonts w:ascii="Verdana" w:hAnsi="Verdana"/>
          <w:i/>
          <w:sz w:val="20"/>
        </w:rPr>
        <w:t>, the ultimate Australian parent shall present consolidated financial statements that consolidate its investments in subsidiaries in accordance with this Standard when either the parent or the group is a reporting entity or both the parent and the group are reporting entities.</w:t>
      </w:r>
    </w:p>
    <w:p w:rsidR="00CE12F3" w:rsidRPr="00375DC0" w:rsidRDefault="00CE12F3" w:rsidP="0057182A">
      <w:pPr>
        <w:ind w:firstLine="0"/>
        <w:jc w:val="left"/>
        <w:rPr>
          <w:rFonts w:ascii="Verdana" w:hAnsi="Verdana"/>
          <w:sz w:val="20"/>
        </w:rPr>
      </w:pPr>
    </w:p>
    <w:p w:rsidR="00CE12F3" w:rsidRPr="00375DC0" w:rsidRDefault="00CE12F3" w:rsidP="0057182A">
      <w:pPr>
        <w:ind w:firstLine="0"/>
        <w:jc w:val="left"/>
        <w:rPr>
          <w:rFonts w:ascii="Verdana" w:hAnsi="Verdana"/>
          <w:sz w:val="20"/>
        </w:rPr>
      </w:pPr>
      <w:r w:rsidRPr="00375DC0">
        <w:rPr>
          <w:rFonts w:ascii="Verdana" w:hAnsi="Verdana"/>
          <w:sz w:val="20"/>
        </w:rPr>
        <w:lastRenderedPageBreak/>
        <w:t>A reporting entity is an entity in respect of which it is reasonable to expect the existence of users who rely on the entity’s general purpose financial statement for information that will be useful to them for making and evaluating decisions about the allocation of scarce resources. A reporting entity can be a single entity or a group comprising a parent and all its subsidiaries (</w:t>
      </w:r>
      <w:r w:rsidR="00B23F8A" w:rsidRPr="00375DC0">
        <w:rPr>
          <w:rFonts w:ascii="Verdana" w:hAnsi="Verdana"/>
          <w:sz w:val="20"/>
        </w:rPr>
        <w:t>SAC 1.40</w:t>
      </w:r>
      <w:r w:rsidRPr="00375DC0">
        <w:rPr>
          <w:rFonts w:ascii="Verdana" w:hAnsi="Verdana"/>
          <w:sz w:val="20"/>
        </w:rPr>
        <w:t>)</w:t>
      </w:r>
    </w:p>
    <w:p w:rsidR="0057595D" w:rsidRPr="00375DC0" w:rsidRDefault="0057595D" w:rsidP="0057182A">
      <w:pPr>
        <w:jc w:val="left"/>
        <w:rPr>
          <w:rFonts w:ascii="Verdana" w:hAnsi="Verdana"/>
          <w:sz w:val="20"/>
        </w:rPr>
      </w:pPr>
    </w:p>
    <w:p w:rsidR="00CE12F3" w:rsidRPr="00375DC0" w:rsidRDefault="00CE12F3" w:rsidP="0057182A">
      <w:pPr>
        <w:ind w:firstLine="0"/>
        <w:jc w:val="left"/>
        <w:rPr>
          <w:rFonts w:ascii="Verdana" w:hAnsi="Verdana"/>
          <w:b/>
          <w:sz w:val="20"/>
        </w:rPr>
      </w:pPr>
      <w:r w:rsidRPr="00375DC0">
        <w:rPr>
          <w:rFonts w:ascii="Verdana" w:hAnsi="Verdana"/>
          <w:b/>
          <w:sz w:val="20"/>
        </w:rPr>
        <w:t>The financial statements that must be prepared</w:t>
      </w:r>
    </w:p>
    <w:p w:rsidR="00CE12F3" w:rsidRPr="00375DC0" w:rsidRDefault="00CE12F3" w:rsidP="0057182A">
      <w:pPr>
        <w:jc w:val="left"/>
        <w:rPr>
          <w:rFonts w:ascii="Verdana" w:hAnsi="Verdana"/>
          <w:sz w:val="20"/>
        </w:rPr>
      </w:pPr>
    </w:p>
    <w:p w:rsidR="00CE12F3" w:rsidRPr="00375DC0" w:rsidRDefault="00CE12F3" w:rsidP="0057182A">
      <w:pPr>
        <w:pStyle w:val="BodyText2"/>
        <w:tabs>
          <w:tab w:val="left" w:pos="284"/>
        </w:tabs>
        <w:jc w:val="left"/>
        <w:rPr>
          <w:rFonts w:ascii="Verdana" w:hAnsi="Verdana"/>
          <w:color w:val="auto"/>
          <w:sz w:val="20"/>
        </w:rPr>
      </w:pPr>
      <w:r w:rsidRPr="00375DC0">
        <w:rPr>
          <w:rFonts w:ascii="Verdana" w:hAnsi="Verdana"/>
          <w:color w:val="auto"/>
          <w:sz w:val="20"/>
        </w:rPr>
        <w:t xml:space="preserve">The financial statements required by </w:t>
      </w:r>
      <w:r w:rsidR="00DE0FBB">
        <w:rPr>
          <w:rFonts w:ascii="Verdana" w:hAnsi="Verdana"/>
          <w:color w:val="auto"/>
          <w:sz w:val="20"/>
        </w:rPr>
        <w:t>s</w:t>
      </w:r>
      <w:r w:rsidRPr="00375DC0">
        <w:rPr>
          <w:rFonts w:ascii="Verdana" w:hAnsi="Verdana"/>
          <w:color w:val="auto"/>
          <w:sz w:val="20"/>
        </w:rPr>
        <w:t>.</w:t>
      </w:r>
      <w:r w:rsidR="00DE0FBB">
        <w:rPr>
          <w:rFonts w:ascii="Verdana" w:hAnsi="Verdana"/>
          <w:color w:val="auto"/>
          <w:sz w:val="20"/>
        </w:rPr>
        <w:t xml:space="preserve"> </w:t>
      </w:r>
      <w:r w:rsidRPr="00375DC0">
        <w:rPr>
          <w:rFonts w:ascii="Verdana" w:hAnsi="Verdana"/>
          <w:color w:val="auto"/>
          <w:sz w:val="20"/>
        </w:rPr>
        <w:t>295 are prescribed in AASB 101. More specifically AASB 101.10 requires that the following financial statements be included as part of the content of a financial report:</w:t>
      </w:r>
    </w:p>
    <w:p w:rsidR="00CE12F3" w:rsidRPr="00375DC0" w:rsidRDefault="0057182A" w:rsidP="00A05310">
      <w:pPr>
        <w:pStyle w:val="NumBold2"/>
        <w:numPr>
          <w:ilvl w:val="0"/>
          <w:numId w:val="37"/>
        </w:numPr>
        <w:spacing w:after="0" w:line="240" w:lineRule="auto"/>
        <w:ind w:left="357" w:hanging="357"/>
        <w:rPr>
          <w:rFonts w:ascii="Verdana" w:hAnsi="Verdana"/>
          <w:b w:val="0"/>
          <w:lang w:eastAsia="en-AU"/>
        </w:rPr>
      </w:pPr>
      <w:r>
        <w:rPr>
          <w:rFonts w:ascii="Verdana" w:hAnsi="Verdana"/>
          <w:b w:val="0"/>
          <w:lang w:eastAsia="en-AU"/>
        </w:rPr>
        <w:t>A</w:t>
      </w:r>
      <w:r w:rsidRPr="00375DC0">
        <w:rPr>
          <w:rFonts w:ascii="Verdana" w:hAnsi="Verdana"/>
          <w:b w:val="0"/>
          <w:lang w:eastAsia="en-AU"/>
        </w:rPr>
        <w:t xml:space="preserve"> </w:t>
      </w:r>
      <w:r w:rsidR="00CE12F3" w:rsidRPr="00375DC0">
        <w:rPr>
          <w:rFonts w:ascii="Verdana" w:hAnsi="Verdana"/>
          <w:b w:val="0"/>
          <w:lang w:eastAsia="en-AU"/>
        </w:rPr>
        <w:t>statement of financial position;</w:t>
      </w:r>
    </w:p>
    <w:p w:rsidR="00CE12F3" w:rsidRPr="00375DC0" w:rsidRDefault="0057182A" w:rsidP="00A05310">
      <w:pPr>
        <w:pStyle w:val="NumBold2"/>
        <w:numPr>
          <w:ilvl w:val="0"/>
          <w:numId w:val="37"/>
        </w:numPr>
        <w:spacing w:after="0" w:line="240" w:lineRule="auto"/>
        <w:ind w:left="357" w:hanging="357"/>
        <w:rPr>
          <w:rFonts w:ascii="Verdana" w:hAnsi="Verdana"/>
          <w:b w:val="0"/>
          <w:lang w:eastAsia="en-AU"/>
        </w:rPr>
      </w:pPr>
      <w:r>
        <w:rPr>
          <w:rFonts w:ascii="Verdana" w:hAnsi="Verdana"/>
          <w:b w:val="0"/>
          <w:lang w:eastAsia="en-AU"/>
        </w:rPr>
        <w:t>A</w:t>
      </w:r>
      <w:r w:rsidR="00CE12F3" w:rsidRPr="00375DC0">
        <w:rPr>
          <w:rFonts w:ascii="Verdana" w:hAnsi="Verdana"/>
          <w:b w:val="0"/>
          <w:lang w:eastAsia="en-AU"/>
        </w:rPr>
        <w:t xml:space="preserve"> statement of comprehensive income;</w:t>
      </w:r>
    </w:p>
    <w:p w:rsidR="00CE12F3" w:rsidRPr="00375DC0" w:rsidRDefault="0057182A" w:rsidP="00A05310">
      <w:pPr>
        <w:pStyle w:val="NumBold2"/>
        <w:numPr>
          <w:ilvl w:val="0"/>
          <w:numId w:val="37"/>
        </w:numPr>
        <w:spacing w:after="0" w:line="240" w:lineRule="auto"/>
        <w:ind w:left="357" w:hanging="357"/>
        <w:rPr>
          <w:rFonts w:ascii="Verdana" w:hAnsi="Verdana"/>
          <w:b w:val="0"/>
          <w:lang w:eastAsia="en-AU"/>
        </w:rPr>
      </w:pPr>
      <w:r>
        <w:rPr>
          <w:rFonts w:ascii="Verdana" w:hAnsi="Verdana"/>
          <w:b w:val="0"/>
          <w:lang w:eastAsia="en-AU"/>
        </w:rPr>
        <w:t>A</w:t>
      </w:r>
      <w:r w:rsidR="00CE12F3" w:rsidRPr="00375DC0">
        <w:rPr>
          <w:rFonts w:ascii="Verdana" w:hAnsi="Verdana"/>
          <w:b w:val="0"/>
          <w:lang w:eastAsia="en-AU"/>
        </w:rPr>
        <w:t xml:space="preserve"> statement of changes in equity; </w:t>
      </w:r>
    </w:p>
    <w:p w:rsidR="00CE12F3" w:rsidRPr="00375DC0" w:rsidRDefault="0057182A" w:rsidP="00A05310">
      <w:pPr>
        <w:pStyle w:val="NumBold2"/>
        <w:numPr>
          <w:ilvl w:val="0"/>
          <w:numId w:val="37"/>
        </w:numPr>
        <w:spacing w:after="0" w:line="240" w:lineRule="auto"/>
        <w:ind w:left="357" w:hanging="357"/>
        <w:rPr>
          <w:rFonts w:ascii="Verdana" w:hAnsi="Verdana"/>
          <w:b w:val="0"/>
          <w:lang w:eastAsia="en-AU"/>
        </w:rPr>
      </w:pPr>
      <w:r>
        <w:rPr>
          <w:rFonts w:ascii="Verdana" w:hAnsi="Verdana"/>
          <w:b w:val="0"/>
          <w:lang w:eastAsia="en-AU"/>
        </w:rPr>
        <w:t>A</w:t>
      </w:r>
      <w:r w:rsidR="00CE12F3" w:rsidRPr="00375DC0">
        <w:rPr>
          <w:rFonts w:ascii="Verdana" w:hAnsi="Verdana"/>
          <w:b w:val="0"/>
          <w:lang w:eastAsia="en-AU"/>
        </w:rPr>
        <w:t xml:space="preserve"> cash flow statement; and</w:t>
      </w:r>
    </w:p>
    <w:p w:rsidR="00CE12F3" w:rsidRPr="00375DC0" w:rsidRDefault="0057182A" w:rsidP="00A05310">
      <w:pPr>
        <w:pStyle w:val="NumBold2"/>
        <w:numPr>
          <w:ilvl w:val="0"/>
          <w:numId w:val="37"/>
        </w:numPr>
        <w:spacing w:after="0" w:line="240" w:lineRule="auto"/>
        <w:ind w:left="357" w:hanging="357"/>
        <w:rPr>
          <w:rFonts w:ascii="Verdana" w:hAnsi="Verdana"/>
          <w:b w:val="0"/>
          <w:lang w:eastAsia="en-AU"/>
        </w:rPr>
      </w:pPr>
      <w:r>
        <w:rPr>
          <w:rFonts w:ascii="Verdana" w:hAnsi="Verdana"/>
          <w:b w:val="0"/>
          <w:lang w:eastAsia="en-AU"/>
        </w:rPr>
        <w:t>N</w:t>
      </w:r>
      <w:r w:rsidR="00CE12F3" w:rsidRPr="00375DC0">
        <w:rPr>
          <w:rFonts w:ascii="Verdana" w:hAnsi="Verdana"/>
          <w:b w:val="0"/>
          <w:lang w:eastAsia="en-AU"/>
        </w:rPr>
        <w:t>otes</w:t>
      </w:r>
      <w:r w:rsidR="00D84537" w:rsidRPr="00375DC0">
        <w:rPr>
          <w:rFonts w:ascii="Verdana" w:hAnsi="Verdana"/>
          <w:b w:val="0"/>
          <w:lang w:eastAsia="en-AU"/>
        </w:rPr>
        <w:t>.</w:t>
      </w:r>
    </w:p>
    <w:p w:rsidR="00D84537" w:rsidRPr="00375DC0" w:rsidRDefault="00D84537" w:rsidP="0057182A">
      <w:pPr>
        <w:pStyle w:val="NumBold2"/>
        <w:spacing w:before="60" w:after="0" w:line="240" w:lineRule="auto"/>
        <w:ind w:left="360" w:firstLine="0"/>
        <w:rPr>
          <w:rFonts w:ascii="Verdana" w:hAnsi="Verdana"/>
          <w:b w:val="0"/>
          <w:lang w:eastAsia="en-AU"/>
        </w:rPr>
      </w:pPr>
    </w:p>
    <w:p w:rsidR="00CE12F3" w:rsidRPr="00375DC0" w:rsidRDefault="00575547" w:rsidP="0057182A">
      <w:pPr>
        <w:pStyle w:val="Heading5"/>
        <w:jc w:val="left"/>
        <w:rPr>
          <w:rFonts w:ascii="Verdana" w:hAnsi="Verdana"/>
          <w:b w:val="0"/>
          <w:sz w:val="20"/>
        </w:rPr>
      </w:pPr>
      <w:r w:rsidRPr="00375DC0">
        <w:rPr>
          <w:rFonts w:ascii="Verdana" w:hAnsi="Verdana"/>
          <w:b w:val="0"/>
          <w:sz w:val="20"/>
        </w:rPr>
        <w:t xml:space="preserve">Note </w:t>
      </w:r>
      <w:r w:rsidR="0057182A">
        <w:rPr>
          <w:rFonts w:ascii="Verdana" w:hAnsi="Verdana"/>
          <w:b w:val="0"/>
          <w:sz w:val="20"/>
        </w:rPr>
        <w:t xml:space="preserve">that </w:t>
      </w:r>
      <w:r w:rsidRPr="00375DC0">
        <w:rPr>
          <w:rFonts w:ascii="Verdana" w:hAnsi="Verdana"/>
          <w:b w:val="0"/>
          <w:sz w:val="20"/>
        </w:rPr>
        <w:t>only the consolidated financial statements need to be provided to shareholders of the parent entity</w:t>
      </w:r>
      <w:r w:rsidR="00D84537" w:rsidRPr="00375DC0">
        <w:rPr>
          <w:rFonts w:ascii="Verdana" w:hAnsi="Verdana"/>
          <w:b w:val="0"/>
          <w:sz w:val="20"/>
        </w:rPr>
        <w:t xml:space="preserve"> (r</w:t>
      </w:r>
      <w:r w:rsidRPr="00375DC0">
        <w:rPr>
          <w:rFonts w:ascii="Verdana" w:hAnsi="Verdana"/>
          <w:b w:val="0"/>
          <w:sz w:val="20"/>
        </w:rPr>
        <w:t xml:space="preserve">efer </w:t>
      </w:r>
      <w:r w:rsidR="0057182A">
        <w:rPr>
          <w:rFonts w:ascii="Verdana" w:hAnsi="Verdana"/>
          <w:b w:val="0"/>
          <w:sz w:val="20"/>
        </w:rPr>
        <w:t>to S</w:t>
      </w:r>
      <w:r w:rsidRPr="00375DC0">
        <w:rPr>
          <w:rFonts w:ascii="Verdana" w:hAnsi="Verdana"/>
          <w:b w:val="0"/>
          <w:sz w:val="20"/>
        </w:rPr>
        <w:t>olution to Q1.</w:t>
      </w:r>
      <w:r w:rsidR="006C547D" w:rsidRPr="00375DC0">
        <w:rPr>
          <w:rFonts w:ascii="Verdana" w:hAnsi="Verdana"/>
          <w:b w:val="0"/>
          <w:sz w:val="20"/>
        </w:rPr>
        <w:t>10</w:t>
      </w:r>
      <w:r w:rsidRPr="00375DC0">
        <w:rPr>
          <w:rFonts w:ascii="Verdana" w:hAnsi="Verdana"/>
          <w:b w:val="0"/>
          <w:sz w:val="20"/>
        </w:rPr>
        <w:t>).</w:t>
      </w:r>
    </w:p>
    <w:p w:rsidR="00575547" w:rsidRPr="00375DC0" w:rsidRDefault="00575547" w:rsidP="0057182A">
      <w:pPr>
        <w:jc w:val="left"/>
        <w:rPr>
          <w:rFonts w:ascii="Verdana" w:hAnsi="Verdana"/>
          <w:sz w:val="20"/>
        </w:rPr>
      </w:pPr>
    </w:p>
    <w:p w:rsidR="00D84537" w:rsidRPr="00375DC0" w:rsidRDefault="00D84537" w:rsidP="0057182A">
      <w:pPr>
        <w:jc w:val="left"/>
        <w:rPr>
          <w:rFonts w:ascii="Verdana" w:hAnsi="Verdana"/>
          <w:sz w:val="20"/>
        </w:rPr>
      </w:pPr>
    </w:p>
    <w:p w:rsidR="003B3E51" w:rsidRPr="004F0AA8" w:rsidRDefault="0057595D" w:rsidP="0057182A">
      <w:pPr>
        <w:ind w:firstLine="0"/>
        <w:jc w:val="left"/>
        <w:rPr>
          <w:rFonts w:ascii="Verdana" w:hAnsi="Verdana"/>
          <w:i/>
          <w:sz w:val="20"/>
        </w:rPr>
      </w:pPr>
      <w:r w:rsidRPr="004F0AA8">
        <w:rPr>
          <w:rFonts w:ascii="Verdana" w:hAnsi="Verdana"/>
          <w:b/>
          <w:i/>
          <w:sz w:val="20"/>
        </w:rPr>
        <w:t>Q</w:t>
      </w:r>
      <w:r w:rsidR="003B3E51" w:rsidRPr="004F0AA8">
        <w:rPr>
          <w:rFonts w:ascii="Verdana" w:hAnsi="Verdana"/>
          <w:b/>
          <w:i/>
          <w:sz w:val="20"/>
        </w:rPr>
        <w:t>1.</w:t>
      </w:r>
      <w:r w:rsidR="006C547D" w:rsidRPr="004F0AA8">
        <w:rPr>
          <w:rFonts w:ascii="Verdana" w:hAnsi="Verdana"/>
          <w:b/>
          <w:i/>
          <w:sz w:val="20"/>
        </w:rPr>
        <w:t>9</w:t>
      </w:r>
      <w:r w:rsidR="006C547D" w:rsidRPr="004F0AA8">
        <w:rPr>
          <w:rFonts w:ascii="Verdana" w:hAnsi="Verdana"/>
          <w:i/>
          <w:sz w:val="20"/>
        </w:rPr>
        <w:t xml:space="preserve"> </w:t>
      </w:r>
      <w:r w:rsidR="003B3E51" w:rsidRPr="004F0AA8">
        <w:rPr>
          <w:rFonts w:ascii="Verdana" w:hAnsi="Verdana"/>
          <w:b/>
          <w:i/>
          <w:sz w:val="20"/>
        </w:rPr>
        <w:t>Preparation of consolidated financial statements</w:t>
      </w:r>
      <w:r w:rsidR="003B3E51" w:rsidRPr="00A21D35">
        <w:rPr>
          <w:rFonts w:ascii="Verdana" w:hAnsi="Verdana"/>
          <w:b/>
          <w:i/>
          <w:sz w:val="20"/>
        </w:rPr>
        <w:t xml:space="preserve"> (Section 1.</w:t>
      </w:r>
      <w:r w:rsidR="00CE4B18" w:rsidRPr="00A21D35">
        <w:rPr>
          <w:rFonts w:ascii="Verdana" w:hAnsi="Verdana"/>
          <w:b/>
          <w:i/>
          <w:sz w:val="20"/>
        </w:rPr>
        <w:t>6</w:t>
      </w:r>
      <w:r w:rsidR="003B3E51" w:rsidRPr="00E84C27">
        <w:rPr>
          <w:rFonts w:ascii="Verdana" w:hAnsi="Verdana"/>
          <w:b/>
          <w:i/>
          <w:sz w:val="20"/>
        </w:rPr>
        <w:t>.1)</w:t>
      </w:r>
    </w:p>
    <w:p w:rsidR="003B3E51" w:rsidRPr="00375DC0" w:rsidRDefault="003B3E51" w:rsidP="0057182A">
      <w:pPr>
        <w:spacing w:line="240" w:lineRule="exact"/>
        <w:ind w:firstLine="0"/>
        <w:jc w:val="left"/>
        <w:rPr>
          <w:rFonts w:ascii="Verdana" w:hAnsi="Verdana"/>
          <w:sz w:val="20"/>
        </w:rPr>
      </w:pPr>
    </w:p>
    <w:p w:rsidR="003B3E51" w:rsidRPr="00294296" w:rsidRDefault="003B3E51" w:rsidP="00A05310">
      <w:pPr>
        <w:numPr>
          <w:ilvl w:val="0"/>
          <w:numId w:val="47"/>
        </w:numPr>
        <w:spacing w:line="240" w:lineRule="exact"/>
        <w:ind w:left="357" w:hanging="357"/>
        <w:jc w:val="left"/>
        <w:rPr>
          <w:rFonts w:ascii="Verdana" w:hAnsi="Verdana"/>
          <w:sz w:val="20"/>
        </w:rPr>
      </w:pPr>
      <w:r w:rsidRPr="00294296">
        <w:rPr>
          <w:rFonts w:ascii="Verdana" w:hAnsi="Verdana"/>
          <w:sz w:val="20"/>
        </w:rPr>
        <w:t xml:space="preserve">A large proprietary company with a substantial loan and a wholly owned subsidiary </w:t>
      </w:r>
    </w:p>
    <w:p w:rsidR="003B3E51" w:rsidRPr="00375DC0" w:rsidRDefault="003B3E51" w:rsidP="0057182A">
      <w:pPr>
        <w:jc w:val="left"/>
        <w:rPr>
          <w:rFonts w:ascii="Verdana" w:hAnsi="Verdana"/>
          <w:i/>
          <w:sz w:val="20"/>
        </w:rPr>
      </w:pPr>
    </w:p>
    <w:p w:rsidR="003B3E51" w:rsidRPr="00375DC0" w:rsidRDefault="003B3E51" w:rsidP="00A05310">
      <w:pPr>
        <w:spacing w:line="240" w:lineRule="exact"/>
        <w:ind w:left="357" w:firstLine="0"/>
        <w:jc w:val="left"/>
        <w:rPr>
          <w:rFonts w:ascii="Verdana" w:hAnsi="Verdana"/>
          <w:sz w:val="20"/>
        </w:rPr>
      </w:pPr>
      <w:r w:rsidRPr="00375DC0">
        <w:rPr>
          <w:rFonts w:ascii="Verdana" w:hAnsi="Verdana"/>
          <w:sz w:val="20"/>
        </w:rPr>
        <w:t>It appears that See Pty Ltd only has to pr</w:t>
      </w:r>
      <w:r w:rsidR="00575547" w:rsidRPr="00375DC0">
        <w:rPr>
          <w:rFonts w:ascii="Verdana" w:hAnsi="Verdana"/>
          <w:sz w:val="20"/>
        </w:rPr>
        <w:t xml:space="preserve">ovide </w:t>
      </w:r>
      <w:r w:rsidRPr="00375DC0">
        <w:rPr>
          <w:rFonts w:ascii="Verdana" w:hAnsi="Verdana"/>
          <w:sz w:val="20"/>
        </w:rPr>
        <w:t xml:space="preserve">financial </w:t>
      </w:r>
      <w:r w:rsidR="00575547" w:rsidRPr="00375DC0">
        <w:rPr>
          <w:rFonts w:ascii="Verdana" w:hAnsi="Verdana"/>
          <w:sz w:val="20"/>
        </w:rPr>
        <w:t xml:space="preserve">information </w:t>
      </w:r>
      <w:r w:rsidRPr="00375DC0">
        <w:rPr>
          <w:rFonts w:ascii="Verdana" w:hAnsi="Verdana"/>
          <w:sz w:val="20"/>
        </w:rPr>
        <w:t>for ‘inside shareholders’ (Mr P</w:t>
      </w:r>
      <w:r w:rsidR="001210D5" w:rsidRPr="00375DC0">
        <w:rPr>
          <w:rFonts w:ascii="Verdana" w:hAnsi="Verdana"/>
          <w:sz w:val="20"/>
        </w:rPr>
        <w:t xml:space="preserve"> and his sons) and its banker (</w:t>
      </w:r>
      <w:smartTag w:uri="urn:schemas-microsoft-com:office:smarttags" w:element="stockticker">
        <w:r w:rsidRPr="00375DC0">
          <w:rPr>
            <w:rFonts w:ascii="Verdana" w:hAnsi="Verdana"/>
            <w:sz w:val="20"/>
          </w:rPr>
          <w:t>B</w:t>
        </w:r>
        <w:r w:rsidR="001210D5" w:rsidRPr="00375DC0">
          <w:rPr>
            <w:rFonts w:ascii="Verdana" w:hAnsi="Verdana"/>
            <w:sz w:val="20"/>
          </w:rPr>
          <w:t>M</w:t>
        </w:r>
        <w:r w:rsidRPr="00375DC0">
          <w:rPr>
            <w:rFonts w:ascii="Verdana" w:hAnsi="Verdana"/>
            <w:sz w:val="20"/>
          </w:rPr>
          <w:t>I</w:t>
        </w:r>
      </w:smartTag>
      <w:r w:rsidRPr="00375DC0">
        <w:rPr>
          <w:rFonts w:ascii="Verdana" w:hAnsi="Verdana"/>
          <w:sz w:val="20"/>
        </w:rPr>
        <w:t xml:space="preserve"> Limited). Both of these users are in a position to command the specific financial information that they need (i.e.</w:t>
      </w:r>
      <w:r w:rsidR="00AC6A0A">
        <w:rPr>
          <w:rFonts w:ascii="Verdana" w:hAnsi="Verdana"/>
          <w:sz w:val="20"/>
        </w:rPr>
        <w:t>,</w:t>
      </w:r>
      <w:r w:rsidRPr="00375DC0">
        <w:rPr>
          <w:rFonts w:ascii="Verdana" w:hAnsi="Verdana"/>
          <w:sz w:val="20"/>
        </w:rPr>
        <w:t xml:space="preserve"> specific purpose financial reports).</w:t>
      </w:r>
      <w:r w:rsidR="00AA49FB" w:rsidRPr="00375DC0">
        <w:rPr>
          <w:rFonts w:ascii="Verdana" w:hAnsi="Verdana"/>
          <w:sz w:val="20"/>
        </w:rPr>
        <w:t xml:space="preserve"> </w:t>
      </w:r>
      <w:r w:rsidRPr="00375DC0">
        <w:rPr>
          <w:rFonts w:ascii="Verdana" w:hAnsi="Verdana"/>
          <w:sz w:val="20"/>
        </w:rPr>
        <w:t>For example, as part of the terms and conditions of the loan agreement See Pty Ltd must pro</w:t>
      </w:r>
      <w:r w:rsidR="001210D5" w:rsidRPr="00375DC0">
        <w:rPr>
          <w:rFonts w:ascii="Verdana" w:hAnsi="Verdana"/>
          <w:sz w:val="20"/>
        </w:rPr>
        <w:t xml:space="preserve">vide monthly cash flow data to </w:t>
      </w:r>
      <w:smartTag w:uri="urn:schemas-microsoft-com:office:smarttags" w:element="stockticker">
        <w:r w:rsidRPr="00375DC0">
          <w:rPr>
            <w:rFonts w:ascii="Verdana" w:hAnsi="Verdana"/>
            <w:sz w:val="20"/>
          </w:rPr>
          <w:t>B</w:t>
        </w:r>
        <w:r w:rsidR="001210D5" w:rsidRPr="00375DC0">
          <w:rPr>
            <w:rFonts w:ascii="Verdana" w:hAnsi="Verdana"/>
            <w:sz w:val="20"/>
          </w:rPr>
          <w:t>M</w:t>
        </w:r>
        <w:r w:rsidRPr="00375DC0">
          <w:rPr>
            <w:rFonts w:ascii="Verdana" w:hAnsi="Verdana"/>
            <w:sz w:val="20"/>
          </w:rPr>
          <w:t>I</w:t>
        </w:r>
      </w:smartTag>
      <w:r w:rsidRPr="00375DC0">
        <w:rPr>
          <w:rFonts w:ascii="Verdana" w:hAnsi="Verdana"/>
          <w:sz w:val="20"/>
        </w:rPr>
        <w:t xml:space="preserve"> Limited.</w:t>
      </w:r>
      <w:r w:rsidR="00AA49FB" w:rsidRPr="00375DC0">
        <w:rPr>
          <w:rFonts w:ascii="Verdana" w:hAnsi="Verdana"/>
          <w:sz w:val="20"/>
        </w:rPr>
        <w:t xml:space="preserve"> </w:t>
      </w:r>
      <w:r w:rsidRPr="00375DC0">
        <w:rPr>
          <w:rFonts w:ascii="Verdana" w:hAnsi="Verdana"/>
          <w:sz w:val="20"/>
        </w:rPr>
        <w:t xml:space="preserve">It follows that See Pty Ltd and the See Pty Ltd group entity are non-reporting entities. </w:t>
      </w:r>
    </w:p>
    <w:p w:rsidR="003B3E51" w:rsidRPr="00375DC0" w:rsidRDefault="003B3E51" w:rsidP="00A05310">
      <w:pPr>
        <w:spacing w:line="240" w:lineRule="exact"/>
        <w:ind w:left="357" w:firstLine="0"/>
        <w:jc w:val="left"/>
        <w:rPr>
          <w:rFonts w:ascii="Verdana" w:hAnsi="Verdana"/>
          <w:sz w:val="20"/>
        </w:rPr>
      </w:pPr>
    </w:p>
    <w:p w:rsidR="003B3E51" w:rsidRPr="00375DC0" w:rsidRDefault="0057595D" w:rsidP="00A05310">
      <w:pPr>
        <w:spacing w:line="240" w:lineRule="exact"/>
        <w:ind w:left="357" w:firstLine="0"/>
        <w:jc w:val="left"/>
        <w:rPr>
          <w:rFonts w:ascii="Verdana" w:hAnsi="Verdana"/>
          <w:sz w:val="20"/>
        </w:rPr>
      </w:pPr>
      <w:r>
        <w:rPr>
          <w:rFonts w:ascii="Verdana" w:hAnsi="Verdana"/>
          <w:sz w:val="20"/>
        </w:rPr>
        <w:t>Conclu</w:t>
      </w:r>
      <w:r w:rsidR="00AC6A0A">
        <w:rPr>
          <w:rFonts w:ascii="Verdana" w:hAnsi="Verdana"/>
          <w:sz w:val="20"/>
        </w:rPr>
        <w:t>sion:</w:t>
      </w:r>
      <w:r>
        <w:rPr>
          <w:rFonts w:ascii="Verdana" w:hAnsi="Verdana"/>
          <w:sz w:val="20"/>
        </w:rPr>
        <w:t xml:space="preserve"> </w:t>
      </w:r>
      <w:r w:rsidR="003B3E51" w:rsidRPr="00375DC0">
        <w:rPr>
          <w:rFonts w:ascii="Verdana" w:hAnsi="Verdana"/>
          <w:sz w:val="20"/>
        </w:rPr>
        <w:t>See Pty Ltd is not required to prepare consolidated financial statements.</w:t>
      </w:r>
    </w:p>
    <w:p w:rsidR="003B3E51" w:rsidRPr="00375DC0" w:rsidRDefault="003B3E51" w:rsidP="0057182A">
      <w:pPr>
        <w:spacing w:line="240" w:lineRule="exact"/>
        <w:ind w:firstLine="0"/>
        <w:jc w:val="left"/>
        <w:rPr>
          <w:rFonts w:ascii="Verdana" w:hAnsi="Verdana"/>
          <w:sz w:val="20"/>
        </w:rPr>
      </w:pPr>
    </w:p>
    <w:p w:rsidR="003B3E51" w:rsidRPr="00294296" w:rsidRDefault="003B3E51" w:rsidP="00A05310">
      <w:pPr>
        <w:numPr>
          <w:ilvl w:val="0"/>
          <w:numId w:val="47"/>
        </w:numPr>
        <w:spacing w:line="240" w:lineRule="exact"/>
        <w:ind w:left="357" w:hanging="357"/>
        <w:jc w:val="left"/>
        <w:rPr>
          <w:rFonts w:ascii="Verdana" w:hAnsi="Verdana"/>
          <w:sz w:val="20"/>
        </w:rPr>
      </w:pPr>
      <w:r w:rsidRPr="00294296">
        <w:rPr>
          <w:rFonts w:ascii="Verdana" w:hAnsi="Verdana"/>
          <w:sz w:val="20"/>
        </w:rPr>
        <w:t>A listed company with a wholly owned subsidiary</w:t>
      </w:r>
    </w:p>
    <w:p w:rsidR="003B3E51" w:rsidRPr="00375DC0" w:rsidRDefault="003B3E51" w:rsidP="0057182A">
      <w:pPr>
        <w:jc w:val="left"/>
        <w:rPr>
          <w:rFonts w:ascii="Verdana" w:hAnsi="Verdana"/>
          <w:i/>
          <w:sz w:val="20"/>
        </w:rPr>
      </w:pPr>
    </w:p>
    <w:p w:rsidR="003B3E51" w:rsidRPr="00375DC0" w:rsidRDefault="003B3E51" w:rsidP="00A05310">
      <w:pPr>
        <w:spacing w:line="240" w:lineRule="exact"/>
        <w:ind w:left="357" w:firstLine="0"/>
        <w:jc w:val="left"/>
        <w:rPr>
          <w:rFonts w:ascii="Verdana" w:hAnsi="Verdana"/>
          <w:sz w:val="20"/>
        </w:rPr>
      </w:pPr>
      <w:r w:rsidRPr="00375DC0">
        <w:rPr>
          <w:rFonts w:ascii="Verdana" w:hAnsi="Verdana"/>
          <w:sz w:val="20"/>
        </w:rPr>
        <w:t xml:space="preserve">As discussed in </w:t>
      </w:r>
      <w:r w:rsidR="00AC6A0A">
        <w:rPr>
          <w:rFonts w:ascii="Verdana" w:hAnsi="Verdana"/>
          <w:sz w:val="20"/>
        </w:rPr>
        <w:t>S</w:t>
      </w:r>
      <w:r w:rsidRPr="00375DC0">
        <w:rPr>
          <w:rFonts w:ascii="Verdana" w:hAnsi="Verdana"/>
          <w:sz w:val="20"/>
        </w:rPr>
        <w:t xml:space="preserve">ection 1.4.1 of chapter one, the definition of reporting entity specifically includes a group with a parent entity that is a listed corporation (i.e., listed on the </w:t>
      </w:r>
      <w:smartTag w:uri="urn:schemas-microsoft-com:office:smarttags" w:element="stockticker">
        <w:r w:rsidRPr="00375DC0">
          <w:rPr>
            <w:rFonts w:ascii="Verdana" w:hAnsi="Verdana"/>
            <w:sz w:val="20"/>
          </w:rPr>
          <w:t>ASX</w:t>
        </w:r>
      </w:smartTag>
      <w:r w:rsidRPr="00375DC0">
        <w:rPr>
          <w:rFonts w:ascii="Verdana" w:hAnsi="Verdana"/>
          <w:sz w:val="20"/>
        </w:rPr>
        <w:t>) as a reporting entity.</w:t>
      </w:r>
      <w:r w:rsidR="00AA49FB" w:rsidRPr="00375DC0">
        <w:rPr>
          <w:rFonts w:ascii="Verdana" w:hAnsi="Verdana"/>
          <w:sz w:val="20"/>
        </w:rPr>
        <w:t xml:space="preserve"> </w:t>
      </w:r>
      <w:r w:rsidRPr="00375DC0">
        <w:rPr>
          <w:rFonts w:ascii="Verdana" w:hAnsi="Verdana"/>
          <w:sz w:val="20"/>
        </w:rPr>
        <w:t>In addition to this</w:t>
      </w:r>
      <w:r w:rsidR="00AC6A0A">
        <w:rPr>
          <w:rFonts w:ascii="Verdana" w:hAnsi="Verdana"/>
          <w:sz w:val="20"/>
        </w:rPr>
        <w:t>,</w:t>
      </w:r>
      <w:r w:rsidRPr="00375DC0">
        <w:rPr>
          <w:rFonts w:ascii="Verdana" w:hAnsi="Verdana"/>
          <w:sz w:val="20"/>
        </w:rPr>
        <w:t xml:space="preserve"> 20% of the shareholders of A Ltd presumably do not participate in the management of A Ltd and as such would be unable to command the information they require about A Ltd or the A Group. It follows</w:t>
      </w:r>
      <w:r w:rsidR="00AC6A0A">
        <w:rPr>
          <w:rFonts w:ascii="Verdana" w:hAnsi="Verdana"/>
          <w:sz w:val="20"/>
        </w:rPr>
        <w:t>,</w:t>
      </w:r>
      <w:r w:rsidRPr="00375DC0">
        <w:rPr>
          <w:rFonts w:ascii="Verdana" w:hAnsi="Verdana"/>
          <w:sz w:val="20"/>
        </w:rPr>
        <w:t xml:space="preserve"> therefore</w:t>
      </w:r>
      <w:r w:rsidR="00AC6A0A">
        <w:rPr>
          <w:rFonts w:ascii="Verdana" w:hAnsi="Verdana"/>
          <w:sz w:val="20"/>
        </w:rPr>
        <w:t>,</w:t>
      </w:r>
      <w:r w:rsidRPr="00375DC0">
        <w:rPr>
          <w:rFonts w:ascii="Verdana" w:hAnsi="Verdana"/>
          <w:sz w:val="20"/>
        </w:rPr>
        <w:t xml:space="preserve"> that the A Group has users who rely on general purpose financial reports for information for decision making. Thus the A Group is a reporting entity.</w:t>
      </w:r>
    </w:p>
    <w:p w:rsidR="003B3E51" w:rsidRPr="00375DC0" w:rsidRDefault="003B3E51" w:rsidP="00A05310">
      <w:pPr>
        <w:spacing w:line="240" w:lineRule="exact"/>
        <w:ind w:left="357" w:firstLine="0"/>
        <w:jc w:val="left"/>
        <w:rPr>
          <w:rFonts w:ascii="Verdana" w:hAnsi="Verdana"/>
          <w:sz w:val="20"/>
        </w:rPr>
      </w:pPr>
    </w:p>
    <w:p w:rsidR="003B3E51" w:rsidRPr="00375DC0" w:rsidRDefault="00D84537" w:rsidP="00A05310">
      <w:pPr>
        <w:spacing w:line="240" w:lineRule="exact"/>
        <w:ind w:left="357" w:firstLine="0"/>
        <w:jc w:val="left"/>
        <w:rPr>
          <w:rFonts w:ascii="Verdana" w:hAnsi="Verdana"/>
          <w:sz w:val="20"/>
        </w:rPr>
      </w:pPr>
      <w:r w:rsidRPr="00375DC0">
        <w:rPr>
          <w:rFonts w:ascii="Verdana" w:hAnsi="Verdana"/>
          <w:sz w:val="20"/>
        </w:rPr>
        <w:t>Conclu</w:t>
      </w:r>
      <w:r w:rsidR="00AC6A0A">
        <w:rPr>
          <w:rFonts w:ascii="Verdana" w:hAnsi="Verdana"/>
          <w:sz w:val="20"/>
        </w:rPr>
        <w:t>sion:</w:t>
      </w:r>
      <w:r w:rsidRPr="00375DC0">
        <w:rPr>
          <w:rFonts w:ascii="Verdana" w:hAnsi="Verdana"/>
          <w:sz w:val="20"/>
        </w:rPr>
        <w:t xml:space="preserve"> </w:t>
      </w:r>
      <w:r w:rsidR="003B3E51" w:rsidRPr="00375DC0">
        <w:rPr>
          <w:rFonts w:ascii="Verdana" w:hAnsi="Verdana"/>
          <w:sz w:val="20"/>
        </w:rPr>
        <w:t>A Limited must prepare consolidated financial statements.</w:t>
      </w:r>
    </w:p>
    <w:p w:rsidR="003B3E51" w:rsidRPr="00375DC0" w:rsidRDefault="003B3E51" w:rsidP="0057182A">
      <w:pPr>
        <w:spacing w:line="240" w:lineRule="exact"/>
        <w:ind w:firstLine="0"/>
        <w:jc w:val="left"/>
        <w:rPr>
          <w:rFonts w:ascii="Verdana" w:hAnsi="Verdana"/>
          <w:sz w:val="20"/>
        </w:rPr>
      </w:pPr>
    </w:p>
    <w:p w:rsidR="003B3E51" w:rsidRPr="00294296" w:rsidRDefault="003B3E51" w:rsidP="00A05310">
      <w:pPr>
        <w:numPr>
          <w:ilvl w:val="0"/>
          <w:numId w:val="47"/>
        </w:numPr>
        <w:spacing w:line="240" w:lineRule="exact"/>
        <w:ind w:left="357" w:hanging="357"/>
        <w:jc w:val="left"/>
        <w:rPr>
          <w:rFonts w:ascii="Verdana" w:hAnsi="Verdana"/>
          <w:sz w:val="20"/>
        </w:rPr>
      </w:pPr>
      <w:r w:rsidRPr="00294296">
        <w:rPr>
          <w:rFonts w:ascii="Verdana" w:hAnsi="Verdana"/>
          <w:sz w:val="20"/>
        </w:rPr>
        <w:t>A significant large proprietary company with control over ten subsidiaries</w:t>
      </w:r>
    </w:p>
    <w:p w:rsidR="003B3E51" w:rsidRPr="00294296" w:rsidRDefault="003B3E51" w:rsidP="0057182A">
      <w:pPr>
        <w:jc w:val="left"/>
        <w:rPr>
          <w:rFonts w:ascii="Verdana" w:hAnsi="Verdana"/>
          <w:i/>
          <w:sz w:val="20"/>
        </w:rPr>
      </w:pPr>
    </w:p>
    <w:p w:rsidR="003B3E51" w:rsidRPr="00375DC0" w:rsidRDefault="003B3E51" w:rsidP="00A05310">
      <w:pPr>
        <w:spacing w:line="240" w:lineRule="exact"/>
        <w:ind w:left="357" w:firstLine="0"/>
        <w:jc w:val="left"/>
        <w:rPr>
          <w:rFonts w:ascii="Verdana" w:hAnsi="Verdana"/>
          <w:sz w:val="20"/>
        </w:rPr>
      </w:pPr>
      <w:r w:rsidRPr="00375DC0">
        <w:rPr>
          <w:rFonts w:ascii="Verdana" w:hAnsi="Verdana"/>
          <w:sz w:val="20"/>
        </w:rPr>
        <w:t>SAC 1.21 includes ‘economic or political importance/significance’ as an indicator of a reporting entity.</w:t>
      </w:r>
      <w:r w:rsidR="00AA49FB" w:rsidRPr="00375DC0">
        <w:rPr>
          <w:rFonts w:ascii="Verdana" w:hAnsi="Verdana"/>
          <w:sz w:val="20"/>
        </w:rPr>
        <w:t xml:space="preserve"> </w:t>
      </w:r>
      <w:r w:rsidRPr="00375DC0">
        <w:rPr>
          <w:rFonts w:ascii="Verdana" w:hAnsi="Verdana"/>
          <w:sz w:val="20"/>
        </w:rPr>
        <w:t>Where there are hundreds of employees that are dependent on a corporate group for their economic welfare and many customers that are reliant on the satisfactory performance of contracts, it would seem appropriate to classify the group entity as a reporting entity.</w:t>
      </w:r>
      <w:r w:rsidR="00AA49FB" w:rsidRPr="00375DC0">
        <w:rPr>
          <w:rFonts w:ascii="Verdana" w:hAnsi="Verdana"/>
          <w:sz w:val="20"/>
        </w:rPr>
        <w:t xml:space="preserve"> </w:t>
      </w:r>
      <w:r w:rsidRPr="00375DC0">
        <w:rPr>
          <w:rFonts w:ascii="Verdana" w:hAnsi="Verdana"/>
          <w:sz w:val="20"/>
        </w:rPr>
        <w:t xml:space="preserve">This </w:t>
      </w:r>
      <w:r w:rsidRPr="00375DC0">
        <w:rPr>
          <w:rFonts w:ascii="Verdana" w:hAnsi="Verdana"/>
          <w:sz w:val="20"/>
        </w:rPr>
        <w:lastRenderedPageBreak/>
        <w:t xml:space="preserve">result holds irrespective of the tight ownership interests in the group. </w:t>
      </w:r>
    </w:p>
    <w:p w:rsidR="003B3E51" w:rsidRPr="00375DC0" w:rsidRDefault="003B3E51" w:rsidP="00A05310">
      <w:pPr>
        <w:spacing w:line="240" w:lineRule="exact"/>
        <w:ind w:left="357" w:firstLine="0"/>
        <w:jc w:val="left"/>
        <w:rPr>
          <w:rFonts w:ascii="Verdana" w:hAnsi="Verdana"/>
          <w:sz w:val="20"/>
        </w:rPr>
      </w:pPr>
    </w:p>
    <w:p w:rsidR="003B3E51" w:rsidRPr="00375DC0" w:rsidRDefault="003B3E51" w:rsidP="00A05310">
      <w:pPr>
        <w:spacing w:line="240" w:lineRule="exact"/>
        <w:ind w:left="357" w:firstLine="0"/>
        <w:jc w:val="left"/>
        <w:rPr>
          <w:rFonts w:ascii="Verdana" w:hAnsi="Verdana"/>
          <w:sz w:val="20"/>
        </w:rPr>
      </w:pPr>
      <w:r w:rsidRPr="00375DC0">
        <w:rPr>
          <w:rFonts w:ascii="Verdana" w:hAnsi="Verdana"/>
          <w:sz w:val="20"/>
        </w:rPr>
        <w:t>Conclu</w:t>
      </w:r>
      <w:r w:rsidR="00AC6A0A">
        <w:rPr>
          <w:rFonts w:ascii="Verdana" w:hAnsi="Verdana"/>
          <w:sz w:val="20"/>
        </w:rPr>
        <w:t>sion:</w:t>
      </w:r>
      <w:r w:rsidR="00D22BB7" w:rsidRPr="00375DC0">
        <w:rPr>
          <w:rFonts w:ascii="Verdana" w:hAnsi="Verdana"/>
          <w:sz w:val="20"/>
        </w:rPr>
        <w:t xml:space="preserve"> </w:t>
      </w:r>
      <w:r w:rsidRPr="00375DC0">
        <w:rPr>
          <w:rFonts w:ascii="Verdana" w:hAnsi="Verdana"/>
          <w:sz w:val="20"/>
        </w:rPr>
        <w:t>B Pty Limited must prepare consolidated financial statements.</w:t>
      </w:r>
    </w:p>
    <w:p w:rsidR="003B3E51" w:rsidRPr="00375DC0" w:rsidRDefault="003B3E51" w:rsidP="0057182A">
      <w:pPr>
        <w:spacing w:line="240" w:lineRule="exact"/>
        <w:jc w:val="left"/>
        <w:rPr>
          <w:rFonts w:ascii="Verdana" w:hAnsi="Verdana"/>
          <w:sz w:val="20"/>
        </w:rPr>
      </w:pPr>
    </w:p>
    <w:p w:rsidR="003B3E51" w:rsidRPr="00294296" w:rsidRDefault="003B3E51" w:rsidP="00A05310">
      <w:pPr>
        <w:numPr>
          <w:ilvl w:val="0"/>
          <w:numId w:val="47"/>
        </w:numPr>
        <w:spacing w:line="240" w:lineRule="exact"/>
        <w:ind w:left="357" w:hanging="357"/>
        <w:jc w:val="left"/>
        <w:rPr>
          <w:rFonts w:ascii="Verdana" w:hAnsi="Verdana"/>
          <w:sz w:val="20"/>
        </w:rPr>
      </w:pPr>
      <w:r w:rsidRPr="00294296">
        <w:rPr>
          <w:rFonts w:ascii="Verdana" w:hAnsi="Verdana"/>
          <w:sz w:val="20"/>
        </w:rPr>
        <w:t xml:space="preserve">Investment company with significant borrowings in receivership </w:t>
      </w:r>
    </w:p>
    <w:p w:rsidR="003B3E51" w:rsidRPr="00375DC0" w:rsidRDefault="003B3E51" w:rsidP="0057182A">
      <w:pPr>
        <w:spacing w:line="240" w:lineRule="exact"/>
        <w:ind w:firstLine="0"/>
        <w:jc w:val="left"/>
        <w:rPr>
          <w:rFonts w:ascii="Verdana" w:hAnsi="Verdana"/>
          <w:sz w:val="20"/>
        </w:rPr>
      </w:pPr>
    </w:p>
    <w:p w:rsidR="003B3E51" w:rsidRPr="00375DC0" w:rsidRDefault="003B3E51" w:rsidP="00A05310">
      <w:pPr>
        <w:spacing w:line="240" w:lineRule="exact"/>
        <w:ind w:left="357" w:firstLine="0"/>
        <w:jc w:val="left"/>
        <w:rPr>
          <w:rFonts w:ascii="Verdana" w:hAnsi="Verdana"/>
          <w:sz w:val="20"/>
        </w:rPr>
      </w:pPr>
      <w:r w:rsidRPr="00375DC0">
        <w:rPr>
          <w:rFonts w:ascii="Verdana" w:hAnsi="Verdana"/>
          <w:sz w:val="20"/>
        </w:rPr>
        <w:t xml:space="preserve">The </w:t>
      </w:r>
      <w:r w:rsidR="00CE4B18" w:rsidRPr="00375DC0">
        <w:rPr>
          <w:rFonts w:ascii="Verdana" w:hAnsi="Verdana"/>
          <w:sz w:val="20"/>
        </w:rPr>
        <w:t xml:space="preserve">third </w:t>
      </w:r>
      <w:r w:rsidRPr="00375DC0">
        <w:rPr>
          <w:rFonts w:ascii="Verdana" w:hAnsi="Verdana"/>
          <w:sz w:val="20"/>
        </w:rPr>
        <w:t>arm of AASB 1</w:t>
      </w:r>
      <w:r w:rsidR="00CE4B18" w:rsidRPr="00375DC0">
        <w:rPr>
          <w:rFonts w:ascii="Verdana" w:hAnsi="Verdana"/>
          <w:sz w:val="20"/>
        </w:rPr>
        <w:t>0.7</w:t>
      </w:r>
      <w:r w:rsidRPr="00375DC0">
        <w:rPr>
          <w:rFonts w:ascii="Verdana" w:hAnsi="Verdana"/>
          <w:sz w:val="20"/>
        </w:rPr>
        <w:t xml:space="preserve"> definition of control relates to the ability of the entity to use its power to obtain benefits from the activities of the other entity. The receiver appointed by Northpac is instructed under a fiduciary arrangement to act as an agent to protect the interests of Northpac and the other secured creditors. The receiver will only be paid fees for services rendered and will not be obtaining any other benefits.</w:t>
      </w:r>
    </w:p>
    <w:p w:rsidR="003B3E51" w:rsidRPr="00375DC0" w:rsidRDefault="003B3E51" w:rsidP="00A05310">
      <w:pPr>
        <w:spacing w:line="240" w:lineRule="exact"/>
        <w:ind w:left="357" w:firstLine="0"/>
        <w:jc w:val="left"/>
        <w:rPr>
          <w:rFonts w:ascii="Verdana" w:hAnsi="Verdana"/>
          <w:sz w:val="20"/>
        </w:rPr>
      </w:pPr>
    </w:p>
    <w:p w:rsidR="003B3E51" w:rsidRPr="00375DC0" w:rsidRDefault="003B3E51" w:rsidP="00A05310">
      <w:pPr>
        <w:spacing w:line="240" w:lineRule="exact"/>
        <w:ind w:left="357" w:firstLine="0"/>
        <w:jc w:val="left"/>
        <w:rPr>
          <w:rFonts w:ascii="Verdana" w:hAnsi="Verdana"/>
          <w:sz w:val="20"/>
        </w:rPr>
      </w:pPr>
      <w:r w:rsidRPr="00375DC0">
        <w:rPr>
          <w:rFonts w:ascii="Verdana" w:hAnsi="Verdana"/>
          <w:sz w:val="20"/>
        </w:rPr>
        <w:t>Conclu</w:t>
      </w:r>
      <w:r w:rsidR="00AC6A0A">
        <w:rPr>
          <w:rFonts w:ascii="Verdana" w:hAnsi="Verdana"/>
          <w:sz w:val="20"/>
        </w:rPr>
        <w:t>sion:</w:t>
      </w:r>
      <w:r w:rsidR="001210D5" w:rsidRPr="00375DC0">
        <w:rPr>
          <w:rFonts w:ascii="Verdana" w:hAnsi="Verdana"/>
          <w:sz w:val="20"/>
        </w:rPr>
        <w:t xml:space="preserve"> </w:t>
      </w:r>
      <w:r w:rsidRPr="00375DC0">
        <w:rPr>
          <w:rFonts w:ascii="Verdana" w:hAnsi="Verdana"/>
          <w:sz w:val="20"/>
        </w:rPr>
        <w:t>The receiver is not required to consolidate B Ltd.</w:t>
      </w:r>
    </w:p>
    <w:p w:rsidR="003B3E51" w:rsidRPr="00375DC0" w:rsidRDefault="003B3E51" w:rsidP="0057182A">
      <w:pPr>
        <w:ind w:firstLine="0"/>
        <w:jc w:val="left"/>
        <w:rPr>
          <w:rFonts w:ascii="Verdana" w:hAnsi="Verdana"/>
          <w:b/>
          <w:sz w:val="20"/>
        </w:rPr>
      </w:pPr>
    </w:p>
    <w:p w:rsidR="00D22BB7" w:rsidRPr="00375DC0" w:rsidRDefault="00D22BB7" w:rsidP="0057182A">
      <w:pPr>
        <w:ind w:firstLine="0"/>
        <w:jc w:val="left"/>
        <w:rPr>
          <w:rFonts w:ascii="Verdana" w:hAnsi="Verdana"/>
          <w:b/>
          <w:sz w:val="20"/>
        </w:rPr>
      </w:pPr>
    </w:p>
    <w:p w:rsidR="001D794B" w:rsidRPr="004F0AA8" w:rsidRDefault="001D794B" w:rsidP="0057182A">
      <w:pPr>
        <w:ind w:firstLine="0"/>
        <w:jc w:val="left"/>
        <w:rPr>
          <w:rFonts w:ascii="Verdana" w:hAnsi="Verdana"/>
          <w:b/>
          <w:i/>
          <w:sz w:val="20"/>
        </w:rPr>
      </w:pPr>
      <w:r w:rsidRPr="004F0AA8">
        <w:rPr>
          <w:rFonts w:ascii="Verdana" w:hAnsi="Verdana"/>
          <w:b/>
          <w:i/>
          <w:sz w:val="20"/>
        </w:rPr>
        <w:t>Q1.</w:t>
      </w:r>
      <w:r w:rsidR="006C547D" w:rsidRPr="004F0AA8">
        <w:rPr>
          <w:rFonts w:ascii="Verdana" w:hAnsi="Verdana"/>
          <w:b/>
          <w:i/>
          <w:sz w:val="20"/>
        </w:rPr>
        <w:t xml:space="preserve">10 </w:t>
      </w:r>
      <w:r w:rsidRPr="004F0AA8">
        <w:rPr>
          <w:rFonts w:ascii="Verdana" w:hAnsi="Verdana"/>
          <w:b/>
          <w:i/>
          <w:sz w:val="20"/>
        </w:rPr>
        <w:t xml:space="preserve">Relevance of parent entity’s financial statements </w:t>
      </w:r>
      <w:r w:rsidRPr="00A21D35">
        <w:rPr>
          <w:rFonts w:ascii="Verdana" w:hAnsi="Verdana"/>
          <w:b/>
          <w:i/>
          <w:sz w:val="20"/>
        </w:rPr>
        <w:t>(Section 1.</w:t>
      </w:r>
      <w:r w:rsidR="003C2715" w:rsidRPr="00A21D35">
        <w:rPr>
          <w:rFonts w:ascii="Verdana" w:hAnsi="Verdana"/>
          <w:b/>
          <w:i/>
          <w:sz w:val="20"/>
        </w:rPr>
        <w:t>6</w:t>
      </w:r>
      <w:r w:rsidRPr="00E84C27">
        <w:rPr>
          <w:rFonts w:ascii="Verdana" w:hAnsi="Verdana"/>
          <w:b/>
          <w:i/>
          <w:sz w:val="20"/>
        </w:rPr>
        <w:t>.3)</w:t>
      </w:r>
    </w:p>
    <w:p w:rsidR="001D794B" w:rsidRPr="00375DC0" w:rsidRDefault="001D794B" w:rsidP="0057182A">
      <w:pPr>
        <w:ind w:firstLine="0"/>
        <w:jc w:val="left"/>
        <w:rPr>
          <w:rFonts w:ascii="Verdana" w:hAnsi="Verdana"/>
          <w:b/>
          <w:sz w:val="20"/>
        </w:rPr>
      </w:pPr>
    </w:p>
    <w:p w:rsidR="001D794B" w:rsidRPr="00375DC0" w:rsidRDefault="001D794B" w:rsidP="0057182A">
      <w:pPr>
        <w:pStyle w:val="BodyText2"/>
        <w:jc w:val="left"/>
        <w:rPr>
          <w:rFonts w:ascii="Verdana" w:hAnsi="Verdana"/>
          <w:sz w:val="20"/>
        </w:rPr>
      </w:pPr>
      <w:r w:rsidRPr="00375DC0">
        <w:rPr>
          <w:rFonts w:ascii="Verdana" w:hAnsi="Verdana"/>
          <w:sz w:val="20"/>
        </w:rPr>
        <w:t xml:space="preserve">The purpose of this question is to consider whether a parent entity’s separate financial statements are or are not relevant and if they add value to a complex group’s consolidated financial statements. </w:t>
      </w:r>
    </w:p>
    <w:p w:rsidR="001D794B" w:rsidRPr="00375DC0" w:rsidRDefault="001D794B" w:rsidP="0057182A">
      <w:pPr>
        <w:pStyle w:val="BodyText2"/>
        <w:jc w:val="left"/>
        <w:rPr>
          <w:rFonts w:ascii="Verdana" w:hAnsi="Verdana"/>
          <w:sz w:val="20"/>
        </w:rPr>
      </w:pPr>
    </w:p>
    <w:p w:rsidR="001D794B" w:rsidRPr="00375DC0" w:rsidRDefault="001D794B" w:rsidP="0057182A">
      <w:pPr>
        <w:pStyle w:val="BodyText2"/>
        <w:jc w:val="left"/>
        <w:rPr>
          <w:rFonts w:ascii="Verdana" w:hAnsi="Verdana"/>
          <w:sz w:val="20"/>
        </w:rPr>
      </w:pPr>
      <w:r w:rsidRPr="00375DC0">
        <w:rPr>
          <w:rFonts w:ascii="Verdana" w:hAnsi="Verdana"/>
          <w:sz w:val="20"/>
        </w:rPr>
        <w:t>As stated in Section 1.</w:t>
      </w:r>
      <w:r w:rsidR="00B83717" w:rsidRPr="00375DC0">
        <w:rPr>
          <w:rFonts w:ascii="Verdana" w:hAnsi="Verdana"/>
          <w:sz w:val="20"/>
        </w:rPr>
        <w:t>6</w:t>
      </w:r>
      <w:r w:rsidRPr="00375DC0">
        <w:rPr>
          <w:rFonts w:ascii="Verdana" w:hAnsi="Verdana"/>
          <w:sz w:val="20"/>
        </w:rPr>
        <w:t>.3, most parent entities prepare consolidated financial statements and have the choice of disclosing the pa</w:t>
      </w:r>
      <w:r w:rsidR="00575547" w:rsidRPr="00375DC0">
        <w:rPr>
          <w:rFonts w:ascii="Verdana" w:hAnsi="Verdana"/>
          <w:sz w:val="20"/>
        </w:rPr>
        <w:t>r</w:t>
      </w:r>
      <w:r w:rsidRPr="00375DC0">
        <w:rPr>
          <w:rFonts w:ascii="Verdana" w:hAnsi="Verdana"/>
          <w:sz w:val="20"/>
        </w:rPr>
        <w:t>ent entity’s financial information in the notes to the consolidated financial statements. This choice has been made possible by</w:t>
      </w:r>
      <w:r w:rsidR="00AB4F00">
        <w:rPr>
          <w:rFonts w:ascii="Verdana" w:hAnsi="Verdana"/>
          <w:sz w:val="20"/>
        </w:rPr>
        <w:t xml:space="preserve"> the</w:t>
      </w:r>
      <w:r w:rsidRPr="00375DC0">
        <w:rPr>
          <w:rFonts w:ascii="Verdana" w:hAnsi="Verdana"/>
          <w:sz w:val="20"/>
        </w:rPr>
        <w:t xml:space="preserve"> </w:t>
      </w:r>
      <w:r w:rsidRPr="00375DC0">
        <w:rPr>
          <w:rFonts w:ascii="Verdana" w:hAnsi="Verdana"/>
          <w:i/>
          <w:sz w:val="20"/>
        </w:rPr>
        <w:t>Corporations Amendment (Corporate Reporting Reform) Act of 2010</w:t>
      </w:r>
      <w:r w:rsidRPr="00375DC0">
        <w:rPr>
          <w:rFonts w:ascii="Verdana" w:hAnsi="Verdana"/>
          <w:sz w:val="20"/>
        </w:rPr>
        <w:t xml:space="preserve"> and ASIC Class Order 10/654. This choice could cause a dilemma for financial statement users as the effects </w:t>
      </w:r>
      <w:r w:rsidR="00575547" w:rsidRPr="00375DC0">
        <w:rPr>
          <w:rFonts w:ascii="Verdana" w:hAnsi="Verdana"/>
          <w:sz w:val="20"/>
        </w:rPr>
        <w:t xml:space="preserve">of this </w:t>
      </w:r>
      <w:r w:rsidRPr="00375DC0">
        <w:rPr>
          <w:rFonts w:ascii="Verdana" w:hAnsi="Verdana"/>
          <w:sz w:val="20"/>
        </w:rPr>
        <w:t xml:space="preserve">decision must be considered by management before making this choice. </w:t>
      </w:r>
    </w:p>
    <w:p w:rsidR="001D794B" w:rsidRPr="00375DC0" w:rsidRDefault="001D794B" w:rsidP="0057182A">
      <w:pPr>
        <w:pStyle w:val="BodyText2"/>
        <w:jc w:val="left"/>
        <w:rPr>
          <w:rFonts w:ascii="Verdana" w:hAnsi="Verdana"/>
          <w:sz w:val="20"/>
        </w:rPr>
      </w:pPr>
    </w:p>
    <w:p w:rsidR="001D794B" w:rsidRPr="00375DC0" w:rsidRDefault="001D794B" w:rsidP="0057182A">
      <w:pPr>
        <w:pStyle w:val="BodyText2"/>
        <w:jc w:val="left"/>
        <w:rPr>
          <w:rFonts w:ascii="Verdana" w:hAnsi="Verdana"/>
          <w:sz w:val="20"/>
        </w:rPr>
      </w:pPr>
      <w:r w:rsidRPr="00375DC0">
        <w:rPr>
          <w:rFonts w:ascii="Verdana" w:hAnsi="Verdana"/>
          <w:sz w:val="20"/>
        </w:rPr>
        <w:t>For information to be relevant, it must assist users with their economic decisions. From a shareholder</w:t>
      </w:r>
      <w:r w:rsidR="00AB4F00">
        <w:rPr>
          <w:rFonts w:ascii="Verdana" w:hAnsi="Verdana"/>
          <w:sz w:val="20"/>
        </w:rPr>
        <w:t>’</w:t>
      </w:r>
      <w:r w:rsidRPr="00375DC0">
        <w:rPr>
          <w:rFonts w:ascii="Verdana" w:hAnsi="Verdana"/>
          <w:sz w:val="20"/>
        </w:rPr>
        <w:t>s perspective, it is commonly used to determine return on investment through dividends and capital growth and for a lender as an indicator of capacity to repay and risk. If the parent entity is a trading entity in its own right then it is quite likely financial statement users would consider the parent entity separate financial statements useful as it provides information about its financial performance in a reporting period and exposure to debt/risk. An example would be a parent entity for a complex group whose principle activities are financial services. The parent entity role could be to provide home loans while at the same time controlling the activities within the group. Financial statement users would need the parent’s separate financial statements to assess risk of their loan receivables.</w:t>
      </w:r>
    </w:p>
    <w:p w:rsidR="001D794B" w:rsidRPr="00375DC0" w:rsidRDefault="001D794B" w:rsidP="0057182A">
      <w:pPr>
        <w:pStyle w:val="BodyText2"/>
        <w:jc w:val="left"/>
        <w:rPr>
          <w:rFonts w:ascii="Verdana" w:hAnsi="Verdana"/>
          <w:sz w:val="20"/>
        </w:rPr>
      </w:pPr>
    </w:p>
    <w:p w:rsidR="001D794B" w:rsidRPr="00375DC0" w:rsidRDefault="001D794B" w:rsidP="0057182A">
      <w:pPr>
        <w:pStyle w:val="BodyText2"/>
        <w:jc w:val="left"/>
        <w:rPr>
          <w:rFonts w:ascii="Verdana" w:hAnsi="Verdana"/>
          <w:sz w:val="20"/>
        </w:rPr>
      </w:pPr>
      <w:r w:rsidRPr="00375DC0">
        <w:rPr>
          <w:rFonts w:ascii="Verdana" w:hAnsi="Verdana"/>
          <w:sz w:val="20"/>
        </w:rPr>
        <w:t>If the parent entity’s role is purely to make strategic policy decisions for the group and the operations are undertaken by the controlled entities within the group, then it is highly likely financial statement users would not find the parent entity’s separate financial</w:t>
      </w:r>
      <w:r w:rsidR="00AB4F00">
        <w:rPr>
          <w:rFonts w:ascii="Verdana" w:hAnsi="Verdana"/>
          <w:sz w:val="20"/>
        </w:rPr>
        <w:t>s</w:t>
      </w:r>
      <w:r w:rsidRPr="00375DC0">
        <w:rPr>
          <w:rFonts w:ascii="Verdana" w:hAnsi="Verdana"/>
          <w:sz w:val="20"/>
        </w:rPr>
        <w:t xml:space="preserve"> relevant as it would only contain dividend revenue, management fees, investments in controlled entities and loans to/from controlled entities.</w:t>
      </w:r>
      <w:r w:rsidR="00AA49FB" w:rsidRPr="00375DC0">
        <w:rPr>
          <w:rFonts w:ascii="Verdana" w:hAnsi="Verdana"/>
          <w:sz w:val="20"/>
        </w:rPr>
        <w:t xml:space="preserve"> </w:t>
      </w:r>
      <w:r w:rsidRPr="00375DC0">
        <w:rPr>
          <w:rFonts w:ascii="Verdana" w:hAnsi="Verdana"/>
          <w:sz w:val="20"/>
        </w:rPr>
        <w:t>An example is a complex group in the mineral and resources industry. All property, plant and equipment</w:t>
      </w:r>
      <w:r w:rsidR="00AB4F00">
        <w:rPr>
          <w:rFonts w:ascii="Verdana" w:hAnsi="Verdana"/>
          <w:sz w:val="20"/>
        </w:rPr>
        <w:t>,</w:t>
      </w:r>
      <w:r w:rsidRPr="00375DC0">
        <w:rPr>
          <w:rFonts w:ascii="Verdana" w:hAnsi="Verdana"/>
          <w:sz w:val="20"/>
        </w:rPr>
        <w:t xml:space="preserve"> and debt are recognised in the controlled entities</w:t>
      </w:r>
      <w:r w:rsidR="00AB4F00">
        <w:rPr>
          <w:rFonts w:ascii="Verdana" w:hAnsi="Verdana"/>
          <w:sz w:val="20"/>
        </w:rPr>
        <w:t>’</w:t>
      </w:r>
      <w:r w:rsidRPr="00375DC0">
        <w:rPr>
          <w:rFonts w:ascii="Verdana" w:hAnsi="Verdana"/>
          <w:sz w:val="20"/>
        </w:rPr>
        <w:t xml:space="preserve"> financial statements. Accordingly</w:t>
      </w:r>
      <w:r w:rsidR="00AB4F00">
        <w:rPr>
          <w:rFonts w:ascii="Verdana" w:hAnsi="Verdana"/>
          <w:sz w:val="20"/>
        </w:rPr>
        <w:t>,</w:t>
      </w:r>
      <w:r w:rsidRPr="00375DC0">
        <w:rPr>
          <w:rFonts w:ascii="Verdana" w:hAnsi="Verdana"/>
          <w:sz w:val="20"/>
        </w:rPr>
        <w:t xml:space="preserve"> the group’s consolidated financial statements would be more relevant to financial statement users.</w:t>
      </w:r>
    </w:p>
    <w:p w:rsidR="001D794B" w:rsidRPr="00375DC0" w:rsidRDefault="001D794B" w:rsidP="0057182A">
      <w:pPr>
        <w:jc w:val="left"/>
        <w:rPr>
          <w:rFonts w:ascii="Verdana" w:hAnsi="Verdana"/>
          <w:sz w:val="20"/>
        </w:rPr>
      </w:pPr>
    </w:p>
    <w:p w:rsidR="00DA3AB9" w:rsidRPr="00375DC0" w:rsidRDefault="00DA3AB9" w:rsidP="0057182A">
      <w:pPr>
        <w:pStyle w:val="Heading5"/>
        <w:jc w:val="left"/>
        <w:rPr>
          <w:rFonts w:ascii="Verdana" w:hAnsi="Verdana"/>
          <w:sz w:val="20"/>
        </w:rPr>
      </w:pPr>
    </w:p>
    <w:p w:rsidR="002E290D" w:rsidRPr="004F0AA8" w:rsidRDefault="0057595D" w:rsidP="0057182A">
      <w:pPr>
        <w:pStyle w:val="Heading5"/>
        <w:jc w:val="left"/>
        <w:rPr>
          <w:rFonts w:ascii="Verdana" w:hAnsi="Verdana"/>
          <w:i/>
          <w:sz w:val="20"/>
        </w:rPr>
      </w:pPr>
      <w:r w:rsidRPr="004F0AA8">
        <w:rPr>
          <w:rFonts w:ascii="Verdana" w:hAnsi="Verdana"/>
          <w:i/>
          <w:sz w:val="20"/>
        </w:rPr>
        <w:t>Q</w:t>
      </w:r>
      <w:r w:rsidR="00CE72C4" w:rsidRPr="004F0AA8">
        <w:rPr>
          <w:rFonts w:ascii="Verdana" w:hAnsi="Verdana"/>
          <w:i/>
          <w:sz w:val="20"/>
        </w:rPr>
        <w:t>1.</w:t>
      </w:r>
      <w:r w:rsidR="009428EA" w:rsidRPr="004F0AA8">
        <w:rPr>
          <w:rFonts w:ascii="Verdana" w:hAnsi="Verdana"/>
          <w:i/>
          <w:sz w:val="20"/>
        </w:rPr>
        <w:t xml:space="preserve">11 </w:t>
      </w:r>
      <w:r w:rsidR="00BC3F67" w:rsidRPr="004F0AA8">
        <w:rPr>
          <w:rFonts w:ascii="Verdana" w:hAnsi="Verdana"/>
          <w:i/>
          <w:sz w:val="20"/>
        </w:rPr>
        <w:t>D</w:t>
      </w:r>
      <w:r w:rsidR="002E290D" w:rsidRPr="004F0AA8">
        <w:rPr>
          <w:rFonts w:ascii="Verdana" w:hAnsi="Verdana"/>
          <w:i/>
          <w:sz w:val="20"/>
        </w:rPr>
        <w:t>efin</w:t>
      </w:r>
      <w:r w:rsidR="00CE72C4" w:rsidRPr="004F0AA8">
        <w:rPr>
          <w:rFonts w:ascii="Verdana" w:hAnsi="Verdana"/>
          <w:i/>
          <w:sz w:val="20"/>
        </w:rPr>
        <w:t>ition and indicators of control</w:t>
      </w:r>
      <w:r w:rsidR="00CE12F3" w:rsidRPr="00A21D35">
        <w:rPr>
          <w:rFonts w:ascii="Verdana" w:hAnsi="Verdana"/>
          <w:i/>
          <w:sz w:val="20"/>
        </w:rPr>
        <w:t xml:space="preserve"> (Section 1.</w:t>
      </w:r>
      <w:r w:rsidR="00B93E7C" w:rsidRPr="00A21D35">
        <w:rPr>
          <w:rFonts w:ascii="Verdana" w:hAnsi="Verdana"/>
          <w:i/>
          <w:sz w:val="20"/>
        </w:rPr>
        <w:t>7.2</w:t>
      </w:r>
      <w:r w:rsidR="00CE12F3" w:rsidRPr="00A21D35">
        <w:rPr>
          <w:rFonts w:ascii="Verdana" w:hAnsi="Verdana"/>
          <w:i/>
          <w:sz w:val="20"/>
        </w:rPr>
        <w:t>)</w:t>
      </w:r>
    </w:p>
    <w:p w:rsidR="002E290D" w:rsidRPr="00375DC0" w:rsidRDefault="002E290D" w:rsidP="0057182A">
      <w:pPr>
        <w:pStyle w:val="BodyTextIndent"/>
        <w:ind w:firstLine="0"/>
        <w:jc w:val="left"/>
        <w:rPr>
          <w:rFonts w:ascii="Verdana" w:hAnsi="Verdana"/>
          <w:sz w:val="20"/>
        </w:rPr>
      </w:pPr>
    </w:p>
    <w:p w:rsidR="00B93E7C" w:rsidRPr="003425F4" w:rsidRDefault="00B93E7C" w:rsidP="0057182A">
      <w:pPr>
        <w:ind w:firstLine="0"/>
        <w:jc w:val="left"/>
        <w:rPr>
          <w:rFonts w:ascii="Verdana" w:hAnsi="Verdana"/>
          <w:sz w:val="20"/>
        </w:rPr>
      </w:pPr>
      <w:r w:rsidRPr="003425F4">
        <w:rPr>
          <w:rFonts w:ascii="Verdana" w:hAnsi="Verdana"/>
          <w:sz w:val="20"/>
        </w:rPr>
        <w:t>Appendix A and AASB 10.6 define control as follows:</w:t>
      </w:r>
    </w:p>
    <w:p w:rsidR="00B93E7C" w:rsidRPr="003425F4" w:rsidRDefault="00B93E7C" w:rsidP="0057182A">
      <w:pPr>
        <w:ind w:firstLine="0"/>
        <w:jc w:val="left"/>
        <w:rPr>
          <w:rFonts w:ascii="Verdana" w:hAnsi="Verdana"/>
          <w:sz w:val="20"/>
        </w:rPr>
      </w:pPr>
    </w:p>
    <w:p w:rsidR="00B93E7C" w:rsidRPr="003425F4" w:rsidRDefault="00B93E7C" w:rsidP="0057182A">
      <w:pPr>
        <w:ind w:left="720" w:firstLine="0"/>
        <w:jc w:val="left"/>
        <w:rPr>
          <w:rFonts w:ascii="Verdana" w:hAnsi="Verdana"/>
          <w:i/>
          <w:sz w:val="20"/>
        </w:rPr>
      </w:pPr>
      <w:r w:rsidRPr="003425F4">
        <w:rPr>
          <w:rFonts w:ascii="Verdana" w:hAnsi="Verdana"/>
          <w:i/>
          <w:sz w:val="20"/>
        </w:rPr>
        <w:t>An investor controls an investee when it is exposed, or has rights, to variable returns from its involvement with the investee and has the ability to affect those returns through its power over the investee.</w:t>
      </w:r>
    </w:p>
    <w:p w:rsidR="00B93E7C" w:rsidRPr="003425F4" w:rsidRDefault="00B93E7C" w:rsidP="0057182A">
      <w:pPr>
        <w:ind w:firstLine="0"/>
        <w:jc w:val="left"/>
        <w:rPr>
          <w:rFonts w:ascii="Verdana" w:hAnsi="Verdana"/>
          <w:sz w:val="20"/>
        </w:rPr>
      </w:pPr>
    </w:p>
    <w:p w:rsidR="00B93E7C" w:rsidRPr="003425F4" w:rsidRDefault="00B93E7C" w:rsidP="0057182A">
      <w:pPr>
        <w:ind w:firstLine="0"/>
        <w:jc w:val="left"/>
        <w:rPr>
          <w:rFonts w:ascii="Verdana" w:hAnsi="Verdana"/>
          <w:sz w:val="20"/>
        </w:rPr>
      </w:pPr>
      <w:r w:rsidRPr="003425F4">
        <w:rPr>
          <w:rFonts w:ascii="Verdana" w:hAnsi="Verdana"/>
          <w:sz w:val="20"/>
        </w:rPr>
        <w:t>AASB 10.7 indicates that there are three essential components to this definition of control</w:t>
      </w:r>
      <w:r w:rsidR="007402FC" w:rsidRPr="003425F4">
        <w:rPr>
          <w:rFonts w:ascii="Verdana" w:hAnsi="Verdana"/>
          <w:sz w:val="20"/>
        </w:rPr>
        <w:t>,</w:t>
      </w:r>
      <w:r w:rsidRPr="003425F4">
        <w:rPr>
          <w:rFonts w:ascii="Verdana" w:hAnsi="Verdana"/>
          <w:sz w:val="20"/>
        </w:rPr>
        <w:t xml:space="preserve"> namely</w:t>
      </w:r>
      <w:r w:rsidR="007402FC" w:rsidRPr="003425F4">
        <w:rPr>
          <w:rFonts w:ascii="Verdana" w:hAnsi="Verdana"/>
          <w:sz w:val="20"/>
        </w:rPr>
        <w:t>:</w:t>
      </w:r>
      <w:r w:rsidRPr="003425F4">
        <w:rPr>
          <w:rFonts w:ascii="Verdana" w:hAnsi="Verdana"/>
          <w:sz w:val="20"/>
        </w:rPr>
        <w:t xml:space="preserve"> (1) the investor has power over the investee; (2) the investor has exposure or rights to variable returns from its involvement in the investee; and (3) th</w:t>
      </w:r>
      <w:r w:rsidR="0057595D" w:rsidRPr="003425F4">
        <w:rPr>
          <w:rFonts w:ascii="Verdana" w:hAnsi="Verdana"/>
          <w:sz w:val="20"/>
        </w:rPr>
        <w:t xml:space="preserve">e investor must be able to use </w:t>
      </w:r>
      <w:r w:rsidRPr="003425F4">
        <w:rPr>
          <w:rFonts w:ascii="Verdana" w:hAnsi="Verdana"/>
          <w:sz w:val="20"/>
        </w:rPr>
        <w:t>the power it has over the investee to affect the amount of the investor’s returns</w:t>
      </w:r>
      <w:r w:rsidR="00A42F50" w:rsidRPr="003425F4">
        <w:rPr>
          <w:rFonts w:ascii="Verdana" w:hAnsi="Verdana"/>
          <w:sz w:val="20"/>
        </w:rPr>
        <w:t xml:space="preserve">. </w:t>
      </w:r>
      <w:r w:rsidRPr="003425F4">
        <w:rPr>
          <w:rFonts w:ascii="Verdana" w:hAnsi="Verdana"/>
          <w:sz w:val="20"/>
        </w:rPr>
        <w:t>It is most important to understand that in any given investor</w:t>
      </w:r>
      <w:r w:rsidR="000F273D" w:rsidRPr="003425F4">
        <w:rPr>
          <w:rFonts w:ascii="Verdana" w:hAnsi="Verdana"/>
          <w:sz w:val="20"/>
        </w:rPr>
        <w:t>-</w:t>
      </w:r>
      <w:r w:rsidRPr="003425F4">
        <w:rPr>
          <w:rFonts w:ascii="Verdana" w:hAnsi="Verdana"/>
          <w:sz w:val="20"/>
        </w:rPr>
        <w:t>investee relationship</w:t>
      </w:r>
      <w:r w:rsidR="007402FC" w:rsidRPr="003425F4">
        <w:rPr>
          <w:rFonts w:ascii="Verdana" w:hAnsi="Verdana"/>
          <w:sz w:val="20"/>
        </w:rPr>
        <w:t>,</w:t>
      </w:r>
      <w:r w:rsidRPr="003425F4">
        <w:rPr>
          <w:rFonts w:ascii="Verdana" w:hAnsi="Verdana"/>
          <w:sz w:val="20"/>
        </w:rPr>
        <w:t xml:space="preserve"> all three of these components must be satisfied before ‘control’ can be confirmed and a parent</w:t>
      </w:r>
      <w:r w:rsidR="000F273D" w:rsidRPr="003425F4">
        <w:rPr>
          <w:rFonts w:ascii="Verdana" w:hAnsi="Verdana"/>
          <w:sz w:val="20"/>
        </w:rPr>
        <w:t>–</w:t>
      </w:r>
      <w:r w:rsidRPr="003425F4">
        <w:rPr>
          <w:rFonts w:ascii="Verdana" w:hAnsi="Verdana"/>
          <w:sz w:val="20"/>
        </w:rPr>
        <w:t>subsidiary relationship established</w:t>
      </w:r>
      <w:r w:rsidR="00A42F50" w:rsidRPr="003425F4">
        <w:rPr>
          <w:rFonts w:ascii="Verdana" w:hAnsi="Verdana"/>
          <w:sz w:val="20"/>
        </w:rPr>
        <w:t xml:space="preserve">. </w:t>
      </w:r>
      <w:r w:rsidRPr="003425F4">
        <w:rPr>
          <w:rFonts w:ascii="Verdana" w:hAnsi="Verdana"/>
          <w:sz w:val="20"/>
        </w:rPr>
        <w:t>As the AASB 10 definition of control is focused on the economic substance of the investor</w:t>
      </w:r>
      <w:r w:rsidR="000F273D" w:rsidRPr="003425F4">
        <w:rPr>
          <w:rFonts w:ascii="Verdana" w:hAnsi="Verdana"/>
          <w:sz w:val="20"/>
        </w:rPr>
        <w:t>–</w:t>
      </w:r>
      <w:r w:rsidRPr="003425F4">
        <w:rPr>
          <w:rFonts w:ascii="Verdana" w:hAnsi="Verdana"/>
          <w:sz w:val="20"/>
        </w:rPr>
        <w:t>investee relationship, simple ‘bright line’ tests such as having more than 50% of the voting shares of the investee are not sufficient to determine the existence of control</w:t>
      </w:r>
      <w:r w:rsidR="00A42F50" w:rsidRPr="003425F4">
        <w:rPr>
          <w:rFonts w:ascii="Verdana" w:hAnsi="Verdana"/>
          <w:sz w:val="20"/>
        </w:rPr>
        <w:t xml:space="preserve">. </w:t>
      </w:r>
      <w:r w:rsidRPr="003425F4">
        <w:rPr>
          <w:rFonts w:ascii="Verdana" w:hAnsi="Verdana"/>
          <w:sz w:val="20"/>
        </w:rPr>
        <w:t xml:space="preserve">  </w:t>
      </w:r>
    </w:p>
    <w:p w:rsidR="00452273" w:rsidRPr="003425F4" w:rsidRDefault="00452273" w:rsidP="0057182A">
      <w:pPr>
        <w:ind w:firstLine="0"/>
        <w:jc w:val="left"/>
        <w:rPr>
          <w:rFonts w:ascii="Verdana" w:hAnsi="Verdana"/>
          <w:b/>
          <w:i/>
          <w:sz w:val="20"/>
        </w:rPr>
      </w:pPr>
    </w:p>
    <w:p w:rsidR="00B93E7C" w:rsidRPr="003425F4" w:rsidRDefault="0057595D" w:rsidP="0057182A">
      <w:pPr>
        <w:ind w:firstLine="0"/>
        <w:jc w:val="left"/>
        <w:rPr>
          <w:rFonts w:ascii="Verdana" w:hAnsi="Verdana"/>
          <w:b/>
          <w:sz w:val="20"/>
        </w:rPr>
      </w:pPr>
      <w:r w:rsidRPr="003425F4">
        <w:rPr>
          <w:rFonts w:ascii="Verdana" w:hAnsi="Verdana"/>
          <w:b/>
          <w:sz w:val="20"/>
        </w:rPr>
        <w:t>Power over the i</w:t>
      </w:r>
      <w:r w:rsidR="00B93E7C" w:rsidRPr="003425F4">
        <w:rPr>
          <w:rFonts w:ascii="Verdana" w:hAnsi="Verdana"/>
          <w:b/>
          <w:sz w:val="20"/>
        </w:rPr>
        <w:t>nvestee</w:t>
      </w:r>
    </w:p>
    <w:p w:rsidR="00B93E7C" w:rsidRPr="003425F4" w:rsidRDefault="00B93E7C" w:rsidP="0057182A">
      <w:pPr>
        <w:ind w:firstLine="0"/>
        <w:jc w:val="left"/>
        <w:rPr>
          <w:rFonts w:ascii="Verdana" w:hAnsi="Verdana"/>
          <w:sz w:val="20"/>
        </w:rPr>
      </w:pPr>
      <w:r w:rsidRPr="003425F4">
        <w:rPr>
          <w:rFonts w:ascii="Verdana" w:hAnsi="Verdana"/>
          <w:sz w:val="20"/>
        </w:rPr>
        <w:t>AASB 10.10 indicates that an investor has power over the investee when the investor has existing rights that give it the current ability to direct the relevant activities of the investee</w:t>
      </w:r>
      <w:r w:rsidR="00A42F50" w:rsidRPr="003425F4">
        <w:rPr>
          <w:rFonts w:ascii="Verdana" w:hAnsi="Verdana"/>
          <w:sz w:val="20"/>
        </w:rPr>
        <w:t xml:space="preserve">. </w:t>
      </w:r>
      <w:r w:rsidRPr="003425F4">
        <w:rPr>
          <w:rFonts w:ascii="Verdana" w:hAnsi="Verdana"/>
          <w:sz w:val="20"/>
        </w:rPr>
        <w:t>Relevant activities are defined in AASB 10.Appendix A as “activities of the investee that significantly affect the investee’s returns”</w:t>
      </w:r>
      <w:r w:rsidR="00A42F50" w:rsidRPr="003425F4">
        <w:rPr>
          <w:rFonts w:ascii="Verdana" w:hAnsi="Verdana"/>
          <w:sz w:val="20"/>
        </w:rPr>
        <w:t xml:space="preserve">. </w:t>
      </w:r>
      <w:r w:rsidRPr="003425F4">
        <w:rPr>
          <w:rFonts w:ascii="Verdana" w:hAnsi="Verdana"/>
          <w:sz w:val="20"/>
        </w:rPr>
        <w:t>Relevant activities are those activities that generate value from the investee</w:t>
      </w:r>
      <w:r w:rsidR="00A42F50" w:rsidRPr="003425F4">
        <w:rPr>
          <w:rFonts w:ascii="Verdana" w:hAnsi="Verdana"/>
          <w:sz w:val="20"/>
        </w:rPr>
        <w:t xml:space="preserve">. </w:t>
      </w:r>
      <w:r w:rsidRPr="003425F4">
        <w:rPr>
          <w:rFonts w:ascii="Verdana" w:hAnsi="Verdana"/>
          <w:sz w:val="20"/>
        </w:rPr>
        <w:t>An investor must be able to direct the relevant activities of the investee to satisfy the ‘power’ criterion of the control definition</w:t>
      </w:r>
      <w:r w:rsidR="00A42F50" w:rsidRPr="003425F4">
        <w:rPr>
          <w:rFonts w:ascii="Verdana" w:hAnsi="Verdana"/>
          <w:sz w:val="20"/>
        </w:rPr>
        <w:t xml:space="preserve">. </w:t>
      </w:r>
      <w:r w:rsidRPr="003425F4">
        <w:rPr>
          <w:rFonts w:ascii="Verdana" w:hAnsi="Verdana"/>
          <w:sz w:val="20"/>
        </w:rPr>
        <w:t>AASB 10.B5–B13 of Appendix B provide guidance on how to identify an investee’s relevant activities</w:t>
      </w:r>
      <w:r w:rsidR="00A42F50" w:rsidRPr="003425F4">
        <w:rPr>
          <w:rFonts w:ascii="Verdana" w:hAnsi="Verdana"/>
          <w:sz w:val="20"/>
        </w:rPr>
        <w:t xml:space="preserve">. </w:t>
      </w:r>
      <w:r w:rsidRPr="003425F4">
        <w:rPr>
          <w:rFonts w:ascii="Verdana" w:hAnsi="Verdana"/>
          <w:sz w:val="20"/>
        </w:rPr>
        <w:t>AASB 10.B5 notes that to identify the relevant activities, it will be necessary to consider the purpo</w:t>
      </w:r>
      <w:r w:rsidR="0057595D" w:rsidRPr="003425F4">
        <w:rPr>
          <w:rFonts w:ascii="Verdana" w:hAnsi="Verdana"/>
          <w:sz w:val="20"/>
        </w:rPr>
        <w:t xml:space="preserve">se and design of the investee. </w:t>
      </w:r>
      <w:r w:rsidRPr="003425F4">
        <w:rPr>
          <w:rFonts w:ascii="Verdana" w:hAnsi="Verdana"/>
          <w:sz w:val="20"/>
        </w:rPr>
        <w:t>Although the identification of relevant activities will always depend on the particular facts of the situation, AASB 10.B11 provides some common examples of relevant activities including the buying and selling of goods or services, managing the investee’s financial and non-financial assets or developing new intellectual property</w:t>
      </w:r>
      <w:r w:rsidR="00A42F50" w:rsidRPr="003425F4">
        <w:rPr>
          <w:rFonts w:ascii="Verdana" w:hAnsi="Verdana"/>
          <w:sz w:val="20"/>
        </w:rPr>
        <w:t xml:space="preserve">. </w:t>
      </w:r>
      <w:r w:rsidRPr="003425F4">
        <w:rPr>
          <w:rFonts w:ascii="Verdana" w:hAnsi="Verdana"/>
          <w:sz w:val="20"/>
        </w:rPr>
        <w:t xml:space="preserve">  </w:t>
      </w:r>
    </w:p>
    <w:p w:rsidR="00B93E7C" w:rsidRPr="004F0AA8" w:rsidRDefault="00B93E7C" w:rsidP="0057182A">
      <w:pPr>
        <w:ind w:firstLine="0"/>
        <w:jc w:val="left"/>
        <w:rPr>
          <w:rFonts w:ascii="Verdana" w:hAnsi="Verdana"/>
          <w:sz w:val="20"/>
          <w:highlight w:val="yellow"/>
        </w:rPr>
      </w:pPr>
    </w:p>
    <w:p w:rsidR="00B93E7C" w:rsidRPr="004F0AA8" w:rsidRDefault="00B93E7C" w:rsidP="0057182A">
      <w:pPr>
        <w:ind w:firstLine="0"/>
        <w:jc w:val="left"/>
        <w:rPr>
          <w:rFonts w:ascii="Verdana" w:hAnsi="Verdana"/>
          <w:sz w:val="20"/>
        </w:rPr>
      </w:pPr>
      <w:r w:rsidRPr="002554C4">
        <w:rPr>
          <w:rFonts w:ascii="Verdana" w:hAnsi="Verdana"/>
          <w:sz w:val="20"/>
        </w:rPr>
        <w:t>The investor must have rights that give it the current ability to direct the investee’s relevant activities</w:t>
      </w:r>
      <w:r w:rsidR="00A42F50" w:rsidRPr="002554C4">
        <w:rPr>
          <w:rFonts w:ascii="Verdana" w:hAnsi="Verdana"/>
          <w:sz w:val="20"/>
        </w:rPr>
        <w:t xml:space="preserve">. </w:t>
      </w:r>
      <w:r w:rsidRPr="002554C4">
        <w:rPr>
          <w:rFonts w:ascii="Verdana" w:hAnsi="Verdana"/>
          <w:sz w:val="20"/>
        </w:rPr>
        <w:t>Note that the investor does not h</w:t>
      </w:r>
      <w:r w:rsidRPr="004F0AA8">
        <w:rPr>
          <w:rFonts w:ascii="Verdana" w:hAnsi="Verdana"/>
          <w:sz w:val="20"/>
        </w:rPr>
        <w:t>ave to be exercising those rights to have power over the investee</w:t>
      </w:r>
      <w:r w:rsidR="00A42F50" w:rsidRPr="004F0AA8">
        <w:rPr>
          <w:rFonts w:ascii="Verdana" w:hAnsi="Verdana"/>
          <w:sz w:val="20"/>
        </w:rPr>
        <w:t xml:space="preserve">. </w:t>
      </w:r>
      <w:r w:rsidRPr="004F0AA8">
        <w:rPr>
          <w:rFonts w:ascii="Verdana" w:hAnsi="Verdana"/>
          <w:sz w:val="20"/>
        </w:rPr>
        <w:t>The investor can be ‘passive’ but still have power</w:t>
      </w:r>
      <w:r w:rsidR="00A42F50" w:rsidRPr="004F0AA8">
        <w:rPr>
          <w:rFonts w:ascii="Verdana" w:hAnsi="Verdana"/>
          <w:sz w:val="20"/>
        </w:rPr>
        <w:t xml:space="preserve">. </w:t>
      </w:r>
      <w:r w:rsidRPr="004F0AA8">
        <w:rPr>
          <w:rFonts w:ascii="Verdana" w:hAnsi="Verdana"/>
          <w:sz w:val="20"/>
        </w:rPr>
        <w:t>For example, A Ltd may own 80% of C Ltd and B Ltd may own the remaining 20% of C Ltd</w:t>
      </w:r>
      <w:r w:rsidR="00A42F50" w:rsidRPr="004F0AA8">
        <w:rPr>
          <w:rFonts w:ascii="Verdana" w:hAnsi="Verdana"/>
          <w:sz w:val="20"/>
        </w:rPr>
        <w:t xml:space="preserve">. </w:t>
      </w:r>
      <w:r w:rsidRPr="004F0AA8">
        <w:rPr>
          <w:rFonts w:ascii="Verdana" w:hAnsi="Verdana"/>
          <w:sz w:val="20"/>
        </w:rPr>
        <w:t>As at 30th June, 2016 B Ltd may be actively involved on a day-to-day basis in the management of C Ltd’s operations</w:t>
      </w:r>
      <w:r w:rsidR="00A42F50" w:rsidRPr="004F0AA8">
        <w:rPr>
          <w:rFonts w:ascii="Verdana" w:hAnsi="Verdana"/>
          <w:sz w:val="20"/>
        </w:rPr>
        <w:t xml:space="preserve">. </w:t>
      </w:r>
      <w:r w:rsidRPr="004F0AA8">
        <w:rPr>
          <w:rFonts w:ascii="Verdana" w:hAnsi="Verdana"/>
          <w:sz w:val="20"/>
        </w:rPr>
        <w:t>However, in the absence of any other information, B Ltd does not control C Ltd for the purposes of AASB 10</w:t>
      </w:r>
      <w:r w:rsidR="00A42F50" w:rsidRPr="004F0AA8">
        <w:rPr>
          <w:rFonts w:ascii="Verdana" w:hAnsi="Verdana"/>
          <w:sz w:val="20"/>
        </w:rPr>
        <w:t xml:space="preserve">. </w:t>
      </w:r>
      <w:r w:rsidRPr="004F0AA8">
        <w:rPr>
          <w:rFonts w:ascii="Verdana" w:hAnsi="Verdana"/>
          <w:sz w:val="20"/>
        </w:rPr>
        <w:t>Although A Ltd has not exercised the power that comes from its 80% holding of C Ltd’s voting shares, it has the current capacity to do so if it wished</w:t>
      </w:r>
      <w:r w:rsidR="00A42F50" w:rsidRPr="004F0AA8">
        <w:rPr>
          <w:rFonts w:ascii="Verdana" w:hAnsi="Verdana"/>
          <w:sz w:val="20"/>
        </w:rPr>
        <w:t xml:space="preserve">. </w:t>
      </w:r>
      <w:r w:rsidRPr="004F0AA8">
        <w:rPr>
          <w:rFonts w:ascii="Verdana" w:hAnsi="Verdana"/>
          <w:sz w:val="20"/>
        </w:rPr>
        <w:t>It could out vote B Ltd and veto any of B Ltd’s decisions with regard to the relevant activities of C Ltd</w:t>
      </w:r>
      <w:r w:rsidR="00A42F50" w:rsidRPr="004F0AA8">
        <w:rPr>
          <w:rFonts w:ascii="Verdana" w:hAnsi="Verdana"/>
          <w:sz w:val="20"/>
        </w:rPr>
        <w:t xml:space="preserve">. </w:t>
      </w:r>
      <w:r w:rsidRPr="004F0AA8">
        <w:rPr>
          <w:rFonts w:ascii="Verdana" w:hAnsi="Verdana"/>
          <w:sz w:val="20"/>
        </w:rPr>
        <w:t>Consequently, based on these limited facts, A Ltd would control C Ltd</w:t>
      </w:r>
      <w:r w:rsidR="00A42F50" w:rsidRPr="004F0AA8">
        <w:rPr>
          <w:rFonts w:ascii="Verdana" w:hAnsi="Verdana"/>
          <w:sz w:val="20"/>
        </w:rPr>
        <w:t xml:space="preserve">. </w:t>
      </w:r>
      <w:r w:rsidRPr="004F0AA8">
        <w:rPr>
          <w:rFonts w:ascii="Verdana" w:hAnsi="Verdana"/>
          <w:sz w:val="20"/>
        </w:rPr>
        <w:t>In this example, A Ltd’s rights are determined by its superior voting power that come from it holding the issued share capital of C Ltd</w:t>
      </w:r>
      <w:r w:rsidR="00A42F50" w:rsidRPr="004F0AA8">
        <w:rPr>
          <w:rFonts w:ascii="Verdana" w:hAnsi="Verdana"/>
          <w:sz w:val="20"/>
        </w:rPr>
        <w:t xml:space="preserve">. </w:t>
      </w:r>
      <w:r w:rsidRPr="004F0AA8">
        <w:rPr>
          <w:rFonts w:ascii="Verdana" w:hAnsi="Verdana"/>
          <w:sz w:val="20"/>
        </w:rPr>
        <w:t>AASB 10.B22 identifies these types of rights as being ‘substantive rights’; that is, a substantive right is one that the investor has the practical ability to exercise</w:t>
      </w:r>
      <w:r w:rsidR="00A42F50" w:rsidRPr="004F0AA8">
        <w:rPr>
          <w:rFonts w:ascii="Verdana" w:hAnsi="Verdana"/>
          <w:sz w:val="20"/>
        </w:rPr>
        <w:t xml:space="preserve">. </w:t>
      </w:r>
    </w:p>
    <w:p w:rsidR="00B93E7C" w:rsidRPr="004F0AA8" w:rsidRDefault="00B93E7C" w:rsidP="0057182A">
      <w:pPr>
        <w:ind w:firstLine="0"/>
        <w:jc w:val="left"/>
        <w:rPr>
          <w:rFonts w:ascii="Verdana" w:hAnsi="Verdana"/>
          <w:sz w:val="20"/>
          <w:highlight w:val="yellow"/>
        </w:rPr>
      </w:pPr>
      <w:r w:rsidRPr="004F0AA8">
        <w:rPr>
          <w:rFonts w:ascii="Verdana" w:hAnsi="Verdana"/>
          <w:sz w:val="20"/>
          <w:highlight w:val="yellow"/>
        </w:rPr>
        <w:t xml:space="preserve"> </w:t>
      </w:r>
    </w:p>
    <w:p w:rsidR="00B93E7C" w:rsidRPr="00375DC0" w:rsidRDefault="00B93E7C" w:rsidP="0057182A">
      <w:pPr>
        <w:ind w:firstLine="0"/>
        <w:jc w:val="left"/>
        <w:rPr>
          <w:rFonts w:ascii="Verdana" w:hAnsi="Verdana"/>
          <w:sz w:val="20"/>
        </w:rPr>
      </w:pPr>
      <w:r w:rsidRPr="003425F4">
        <w:rPr>
          <w:rFonts w:ascii="Verdana" w:hAnsi="Verdana"/>
          <w:sz w:val="20"/>
        </w:rPr>
        <w:t>Substantive rights are not limited to those that arise from holding equity in the investee</w:t>
      </w:r>
      <w:r w:rsidR="00A42F50" w:rsidRPr="003425F4">
        <w:rPr>
          <w:rFonts w:ascii="Verdana" w:hAnsi="Verdana"/>
          <w:sz w:val="20"/>
        </w:rPr>
        <w:t xml:space="preserve">. </w:t>
      </w:r>
      <w:r w:rsidRPr="003425F4">
        <w:rPr>
          <w:rFonts w:ascii="Verdana" w:hAnsi="Verdana"/>
          <w:sz w:val="20"/>
        </w:rPr>
        <w:t>Substantive rights could arise from a legal contract or from legislation or other regulations for example</w:t>
      </w:r>
      <w:r w:rsidR="00A42F50" w:rsidRPr="003425F4">
        <w:rPr>
          <w:rFonts w:ascii="Verdana" w:hAnsi="Verdana"/>
          <w:sz w:val="20"/>
        </w:rPr>
        <w:t xml:space="preserve">. </w:t>
      </w:r>
      <w:r w:rsidRPr="003425F4">
        <w:rPr>
          <w:rFonts w:ascii="Verdana" w:hAnsi="Verdana"/>
          <w:sz w:val="20"/>
        </w:rPr>
        <w:t>As the name implies, substantive rights are identified on the basis of the ‘substance’ of the investor</w:t>
      </w:r>
      <w:r w:rsidR="000F273D" w:rsidRPr="003425F4">
        <w:rPr>
          <w:rFonts w:ascii="Verdana" w:hAnsi="Verdana"/>
          <w:sz w:val="20"/>
        </w:rPr>
        <w:t>–</w:t>
      </w:r>
      <w:r w:rsidRPr="003425F4">
        <w:rPr>
          <w:rFonts w:ascii="Verdana" w:hAnsi="Verdana"/>
          <w:sz w:val="20"/>
        </w:rPr>
        <w:t>investee relationship rather than its apparent form</w:t>
      </w:r>
      <w:r w:rsidR="00A42F50" w:rsidRPr="003425F4">
        <w:rPr>
          <w:rFonts w:ascii="Verdana" w:hAnsi="Verdana"/>
          <w:sz w:val="20"/>
        </w:rPr>
        <w:t xml:space="preserve">. </w:t>
      </w:r>
      <w:r w:rsidRPr="003425F4">
        <w:rPr>
          <w:rFonts w:ascii="Verdana" w:hAnsi="Verdana"/>
          <w:sz w:val="20"/>
        </w:rPr>
        <w:t>For example, it was noted in section 1.5.3 that traditional tests of parent/subsidiary relationships were based on the percentage of voting equity held by the investor in the investee</w:t>
      </w:r>
      <w:r w:rsidR="00A42F50" w:rsidRPr="003425F4">
        <w:rPr>
          <w:rFonts w:ascii="Verdana" w:hAnsi="Verdana"/>
          <w:sz w:val="20"/>
        </w:rPr>
        <w:t xml:space="preserve">. </w:t>
      </w:r>
      <w:r w:rsidR="00DE0FBB" w:rsidRPr="003425F4">
        <w:rPr>
          <w:rFonts w:ascii="Verdana" w:hAnsi="Verdana"/>
          <w:sz w:val="20"/>
        </w:rPr>
        <w:t>Typically,</w:t>
      </w:r>
      <w:r w:rsidRPr="003425F4">
        <w:rPr>
          <w:rFonts w:ascii="Verdana" w:hAnsi="Verdana"/>
          <w:sz w:val="20"/>
        </w:rPr>
        <w:t xml:space="preserve"> an investor entity </w:t>
      </w:r>
      <w:r w:rsidRPr="003425F4">
        <w:rPr>
          <w:rFonts w:ascii="Verdana" w:hAnsi="Verdana"/>
          <w:sz w:val="20"/>
        </w:rPr>
        <w:lastRenderedPageBreak/>
        <w:t>having a share ownership of more than 50% in the investee was viewed as giving rise to control over the investee</w:t>
      </w:r>
      <w:r w:rsidR="00A42F50" w:rsidRPr="003425F4">
        <w:rPr>
          <w:rFonts w:ascii="Verdana" w:hAnsi="Verdana"/>
          <w:sz w:val="20"/>
        </w:rPr>
        <w:t xml:space="preserve">. </w:t>
      </w:r>
      <w:r w:rsidRPr="003425F4">
        <w:rPr>
          <w:rFonts w:ascii="Verdana" w:hAnsi="Verdana"/>
          <w:sz w:val="20"/>
        </w:rPr>
        <w:t xml:space="preserve"> However, under the notion of power in AASB 10, an investor could have power over an investee if it held less than 50% of the voting power of the investee, and even, in some cases if it had no equity ownership at all</w:t>
      </w:r>
      <w:r w:rsidR="00A42F50" w:rsidRPr="003425F4">
        <w:rPr>
          <w:rFonts w:ascii="Verdana" w:hAnsi="Verdana"/>
          <w:sz w:val="20"/>
        </w:rPr>
        <w:t xml:space="preserve">. </w:t>
      </w:r>
      <w:r w:rsidRPr="003425F4">
        <w:rPr>
          <w:rFonts w:ascii="Verdana" w:hAnsi="Verdana"/>
          <w:sz w:val="20"/>
        </w:rPr>
        <w:t xml:space="preserve">These types of situation in which the investor has power only without a majority of voting rights is often called </w:t>
      </w:r>
      <w:r w:rsidRPr="003425F4">
        <w:rPr>
          <w:rFonts w:ascii="Verdana" w:hAnsi="Verdana"/>
          <w:i/>
          <w:sz w:val="20"/>
        </w:rPr>
        <w:t>de facto</w:t>
      </w:r>
      <w:r w:rsidRPr="003425F4">
        <w:rPr>
          <w:rFonts w:ascii="Verdana" w:hAnsi="Verdana"/>
          <w:sz w:val="20"/>
        </w:rPr>
        <w:t xml:space="preserve"> power</w:t>
      </w:r>
      <w:r w:rsidR="00A42F50" w:rsidRPr="003425F4">
        <w:rPr>
          <w:rFonts w:ascii="Verdana" w:hAnsi="Verdana"/>
          <w:sz w:val="20"/>
        </w:rPr>
        <w:t xml:space="preserve">. </w:t>
      </w:r>
      <w:r w:rsidRPr="003425F4">
        <w:rPr>
          <w:rFonts w:ascii="Verdana" w:hAnsi="Verdana"/>
          <w:sz w:val="20"/>
        </w:rPr>
        <w:t>Clearly, in such situations, the sound exercise of professional judgement is paramount and the facts in each case need to be carefully assessed</w:t>
      </w:r>
      <w:r w:rsidR="00A42F50" w:rsidRPr="003425F4">
        <w:rPr>
          <w:rFonts w:ascii="Verdana" w:hAnsi="Verdana"/>
          <w:sz w:val="20"/>
        </w:rPr>
        <w:t xml:space="preserve">. </w:t>
      </w:r>
      <w:r w:rsidRPr="003425F4">
        <w:rPr>
          <w:rFonts w:ascii="Verdana" w:hAnsi="Verdana"/>
          <w:sz w:val="20"/>
        </w:rPr>
        <w:t xml:space="preserve">AASB 10.B41–B45 provide specific guidance on other factors and circumstances that should be considered when assessing the existence of </w:t>
      </w:r>
      <w:r w:rsidRPr="003425F4">
        <w:rPr>
          <w:rFonts w:ascii="Verdana" w:hAnsi="Verdana"/>
          <w:i/>
          <w:sz w:val="20"/>
        </w:rPr>
        <w:t>de facto</w:t>
      </w:r>
      <w:r w:rsidRPr="003425F4">
        <w:rPr>
          <w:rFonts w:ascii="Verdana" w:hAnsi="Verdana"/>
          <w:sz w:val="20"/>
        </w:rPr>
        <w:t xml:space="preserve"> control</w:t>
      </w:r>
      <w:r w:rsidR="00A42F50" w:rsidRPr="003425F4">
        <w:rPr>
          <w:rFonts w:ascii="Verdana" w:hAnsi="Verdana"/>
          <w:sz w:val="20"/>
        </w:rPr>
        <w:t xml:space="preserve">. </w:t>
      </w:r>
      <w:r w:rsidRPr="003425F4">
        <w:rPr>
          <w:rFonts w:ascii="Verdana" w:hAnsi="Verdana"/>
          <w:sz w:val="20"/>
        </w:rPr>
        <w:t>In general, evidence should be gathered as to whether there are sufficient rights held by other parties that could act as a counter-veiling power to that held by the investor</w:t>
      </w:r>
      <w:r w:rsidR="00A42F50" w:rsidRPr="003425F4">
        <w:rPr>
          <w:rFonts w:ascii="Verdana" w:hAnsi="Verdana"/>
          <w:sz w:val="20"/>
        </w:rPr>
        <w:t xml:space="preserve">. </w:t>
      </w:r>
      <w:r w:rsidRPr="003425F4">
        <w:rPr>
          <w:rFonts w:ascii="Verdana" w:hAnsi="Verdana"/>
          <w:sz w:val="20"/>
        </w:rPr>
        <w:t xml:space="preserve">A discussion of </w:t>
      </w:r>
      <w:r w:rsidRPr="003425F4">
        <w:rPr>
          <w:rFonts w:ascii="Verdana" w:hAnsi="Verdana"/>
          <w:i/>
          <w:sz w:val="20"/>
        </w:rPr>
        <w:t>de facto</w:t>
      </w:r>
      <w:r w:rsidRPr="003425F4">
        <w:rPr>
          <w:rFonts w:ascii="Verdana" w:hAnsi="Verdana"/>
          <w:sz w:val="20"/>
        </w:rPr>
        <w:t xml:space="preserve"> power also highlights that the investor’s control over an investee could be temporary but the existence of so-called ‘temporary control’ does not exempt the investor from consolidating the investee for the period of time that control existed.</w:t>
      </w:r>
    </w:p>
    <w:p w:rsidR="00B93E7C" w:rsidRPr="00375DC0" w:rsidRDefault="00B93E7C" w:rsidP="0057182A">
      <w:pPr>
        <w:ind w:firstLine="0"/>
        <w:jc w:val="left"/>
        <w:rPr>
          <w:rFonts w:ascii="Verdana" w:hAnsi="Verdana"/>
          <w:sz w:val="20"/>
        </w:rPr>
      </w:pPr>
    </w:p>
    <w:p w:rsidR="00B93E7C" w:rsidRPr="003425F4" w:rsidRDefault="00B93E7C" w:rsidP="0057182A">
      <w:pPr>
        <w:ind w:firstLine="0"/>
        <w:jc w:val="left"/>
        <w:rPr>
          <w:rFonts w:ascii="Verdana" w:hAnsi="Verdana"/>
          <w:sz w:val="20"/>
        </w:rPr>
      </w:pPr>
      <w:r w:rsidRPr="003425F4">
        <w:rPr>
          <w:rFonts w:ascii="Verdana" w:hAnsi="Verdana"/>
          <w:sz w:val="20"/>
        </w:rPr>
        <w:t xml:space="preserve">Some types of rights that are held by an entity are </w:t>
      </w:r>
      <w:r w:rsidR="00DE0FBB" w:rsidRPr="003425F4">
        <w:rPr>
          <w:rFonts w:ascii="Verdana" w:hAnsi="Verdana"/>
          <w:sz w:val="20"/>
        </w:rPr>
        <w:t>‘</w:t>
      </w:r>
      <w:r w:rsidRPr="003425F4">
        <w:rPr>
          <w:rFonts w:ascii="Verdana" w:hAnsi="Verdana"/>
          <w:sz w:val="20"/>
        </w:rPr>
        <w:t>protective</w:t>
      </w:r>
      <w:r w:rsidR="00DE0FBB" w:rsidRPr="003425F4">
        <w:rPr>
          <w:rFonts w:ascii="Verdana" w:hAnsi="Verdana"/>
          <w:sz w:val="20"/>
        </w:rPr>
        <w:t>’</w:t>
      </w:r>
      <w:r w:rsidRPr="003425F4">
        <w:rPr>
          <w:rFonts w:ascii="Verdana" w:hAnsi="Verdana"/>
          <w:sz w:val="20"/>
        </w:rPr>
        <w:t xml:space="preserve"> rights rather than substantive rights</w:t>
      </w:r>
      <w:r w:rsidR="00A42F50" w:rsidRPr="003425F4">
        <w:rPr>
          <w:rFonts w:ascii="Verdana" w:hAnsi="Verdana"/>
          <w:sz w:val="20"/>
        </w:rPr>
        <w:t xml:space="preserve">. </w:t>
      </w:r>
      <w:r w:rsidRPr="003425F4">
        <w:rPr>
          <w:rFonts w:ascii="Verdana" w:hAnsi="Verdana"/>
          <w:sz w:val="20"/>
        </w:rPr>
        <w:t>Appendix A of AASB 10 defines protective rights as:</w:t>
      </w:r>
    </w:p>
    <w:p w:rsidR="0057595D" w:rsidRPr="003425F4" w:rsidRDefault="0057595D" w:rsidP="0057182A">
      <w:pPr>
        <w:ind w:firstLine="0"/>
        <w:jc w:val="left"/>
        <w:rPr>
          <w:rFonts w:ascii="Verdana" w:hAnsi="Verdana"/>
          <w:sz w:val="20"/>
        </w:rPr>
      </w:pPr>
    </w:p>
    <w:p w:rsidR="00B93E7C" w:rsidRPr="003425F4" w:rsidRDefault="00B93E7C" w:rsidP="0057182A">
      <w:pPr>
        <w:ind w:left="720" w:firstLine="0"/>
        <w:jc w:val="left"/>
        <w:rPr>
          <w:rFonts w:ascii="Verdana" w:hAnsi="Verdana"/>
          <w:i/>
          <w:sz w:val="20"/>
        </w:rPr>
      </w:pPr>
      <w:r w:rsidRPr="003425F4">
        <w:rPr>
          <w:rFonts w:ascii="Verdana" w:hAnsi="Verdana"/>
          <w:i/>
          <w:sz w:val="20"/>
        </w:rPr>
        <w:t>Rights designed to protect the interest of the party holding those rights without giving that party power over the entity to which those rights relate.</w:t>
      </w:r>
    </w:p>
    <w:p w:rsidR="00B93E7C" w:rsidRPr="003425F4" w:rsidRDefault="00B93E7C" w:rsidP="0057182A">
      <w:pPr>
        <w:ind w:firstLine="0"/>
        <w:jc w:val="left"/>
        <w:rPr>
          <w:rFonts w:ascii="Verdana" w:hAnsi="Verdana"/>
          <w:sz w:val="20"/>
        </w:rPr>
      </w:pPr>
    </w:p>
    <w:p w:rsidR="00B93E7C" w:rsidRPr="003425F4" w:rsidRDefault="00B93E7C" w:rsidP="0057182A">
      <w:pPr>
        <w:ind w:firstLine="0"/>
        <w:jc w:val="left"/>
        <w:rPr>
          <w:rFonts w:ascii="Verdana" w:hAnsi="Verdana"/>
          <w:sz w:val="20"/>
        </w:rPr>
      </w:pPr>
      <w:r w:rsidRPr="003425F4">
        <w:rPr>
          <w:rFonts w:ascii="Verdana" w:hAnsi="Verdana"/>
          <w:sz w:val="20"/>
        </w:rPr>
        <w:t>Examples of protective rights are given in AASB 10.B28 and include the right of a lender to seize any assets from a borrower if the borrower breaches specific provisions of its loan contract</w:t>
      </w:r>
      <w:r w:rsidR="00A42F50" w:rsidRPr="003425F4">
        <w:rPr>
          <w:rFonts w:ascii="Verdana" w:hAnsi="Verdana"/>
          <w:sz w:val="20"/>
        </w:rPr>
        <w:t xml:space="preserve">. </w:t>
      </w:r>
      <w:r w:rsidRPr="003425F4">
        <w:rPr>
          <w:rFonts w:ascii="Verdana" w:hAnsi="Verdana"/>
          <w:sz w:val="20"/>
        </w:rPr>
        <w:t>Protective rights can be common in the not-for-profit sector where governments, for example, may place a variety of restrictions on the activities of some charities or other entities</w:t>
      </w:r>
      <w:r w:rsidR="00A42F50" w:rsidRPr="003425F4">
        <w:rPr>
          <w:rFonts w:ascii="Verdana" w:hAnsi="Verdana"/>
          <w:sz w:val="20"/>
        </w:rPr>
        <w:t xml:space="preserve">. </w:t>
      </w:r>
      <w:r w:rsidRPr="003425F4">
        <w:rPr>
          <w:rFonts w:ascii="Verdana" w:hAnsi="Verdana"/>
          <w:sz w:val="20"/>
        </w:rPr>
        <w:t>As noted by the definition, protective rights are not a basis for establishing power over an investee for the purposes of AASB 10.</w:t>
      </w:r>
    </w:p>
    <w:p w:rsidR="00B93E7C" w:rsidRPr="003425F4" w:rsidRDefault="00B93E7C" w:rsidP="0057182A">
      <w:pPr>
        <w:ind w:firstLine="0"/>
        <w:jc w:val="left"/>
        <w:rPr>
          <w:rFonts w:ascii="Verdana" w:hAnsi="Verdana"/>
          <w:sz w:val="20"/>
        </w:rPr>
      </w:pPr>
    </w:p>
    <w:p w:rsidR="00B93E7C" w:rsidRPr="003425F4" w:rsidRDefault="00B93E7C" w:rsidP="0057182A">
      <w:pPr>
        <w:ind w:firstLine="0"/>
        <w:jc w:val="left"/>
        <w:rPr>
          <w:rFonts w:ascii="Verdana" w:hAnsi="Verdana"/>
          <w:b/>
          <w:sz w:val="20"/>
        </w:rPr>
      </w:pPr>
      <w:r w:rsidRPr="003425F4">
        <w:rPr>
          <w:rFonts w:ascii="Verdana" w:hAnsi="Verdana"/>
          <w:b/>
          <w:sz w:val="20"/>
        </w:rPr>
        <w:t xml:space="preserve">Exposure or </w:t>
      </w:r>
      <w:r w:rsidR="0057595D" w:rsidRPr="003425F4">
        <w:rPr>
          <w:rFonts w:ascii="Verdana" w:hAnsi="Verdana"/>
          <w:b/>
          <w:sz w:val="20"/>
        </w:rPr>
        <w:t>rights to variable r</w:t>
      </w:r>
      <w:r w:rsidRPr="003425F4">
        <w:rPr>
          <w:rFonts w:ascii="Verdana" w:hAnsi="Verdana"/>
          <w:b/>
          <w:sz w:val="20"/>
        </w:rPr>
        <w:t>eturns</w:t>
      </w:r>
    </w:p>
    <w:p w:rsidR="00B93E7C" w:rsidRPr="003425F4" w:rsidRDefault="00B93E7C" w:rsidP="0057182A">
      <w:pPr>
        <w:ind w:firstLine="0"/>
        <w:jc w:val="left"/>
        <w:rPr>
          <w:rFonts w:ascii="Verdana" w:hAnsi="Verdana"/>
          <w:sz w:val="20"/>
        </w:rPr>
      </w:pPr>
      <w:r w:rsidRPr="003425F4">
        <w:rPr>
          <w:rFonts w:ascii="Verdana" w:hAnsi="Verdana"/>
          <w:sz w:val="20"/>
        </w:rPr>
        <w:t>The second component of the control definition requires that the investor entity’s own returns be potentially affected by its involvement in the investee</w:t>
      </w:r>
      <w:r w:rsidR="00A42F50" w:rsidRPr="003425F4">
        <w:rPr>
          <w:rFonts w:ascii="Verdana" w:hAnsi="Verdana"/>
          <w:sz w:val="20"/>
        </w:rPr>
        <w:t xml:space="preserve">. </w:t>
      </w:r>
      <w:r w:rsidRPr="003425F4">
        <w:rPr>
          <w:rFonts w:ascii="Verdana" w:hAnsi="Verdana"/>
          <w:sz w:val="20"/>
        </w:rPr>
        <w:t>The returns must potentially be variable rather than fixed or in other words the returns from the investee depend upon the investee’s performance (AASB 10.B56)</w:t>
      </w:r>
      <w:r w:rsidR="00A42F50" w:rsidRPr="003425F4">
        <w:rPr>
          <w:rFonts w:ascii="Verdana" w:hAnsi="Verdana"/>
          <w:sz w:val="20"/>
        </w:rPr>
        <w:t xml:space="preserve">. </w:t>
      </w:r>
      <w:r w:rsidRPr="003425F4">
        <w:rPr>
          <w:rFonts w:ascii="Verdana" w:hAnsi="Verdana"/>
          <w:sz w:val="20"/>
        </w:rPr>
        <w:t xml:space="preserve">AASB 10’s definition of control adopted the term </w:t>
      </w:r>
      <w:r w:rsidR="002554C4" w:rsidRPr="003425F4">
        <w:rPr>
          <w:rFonts w:ascii="Verdana" w:hAnsi="Verdana"/>
          <w:sz w:val="20"/>
        </w:rPr>
        <w:t>‘</w:t>
      </w:r>
      <w:r w:rsidRPr="003425F4">
        <w:rPr>
          <w:rFonts w:ascii="Verdana" w:hAnsi="Verdana"/>
          <w:sz w:val="20"/>
        </w:rPr>
        <w:t>returns</w:t>
      </w:r>
      <w:r w:rsidR="002554C4" w:rsidRPr="003425F4">
        <w:rPr>
          <w:rFonts w:ascii="Verdana" w:hAnsi="Verdana"/>
          <w:sz w:val="20"/>
        </w:rPr>
        <w:t>’</w:t>
      </w:r>
      <w:r w:rsidRPr="003425F4">
        <w:rPr>
          <w:rFonts w:ascii="Verdana" w:hAnsi="Verdana"/>
          <w:sz w:val="20"/>
        </w:rPr>
        <w:t xml:space="preserve"> rather than the term </w:t>
      </w:r>
      <w:r w:rsidR="002554C4" w:rsidRPr="003425F4">
        <w:rPr>
          <w:rFonts w:ascii="Verdana" w:hAnsi="Verdana"/>
          <w:sz w:val="20"/>
        </w:rPr>
        <w:t>‘</w:t>
      </w:r>
      <w:r w:rsidRPr="003425F4">
        <w:rPr>
          <w:rFonts w:ascii="Verdana" w:hAnsi="Verdana"/>
          <w:sz w:val="20"/>
        </w:rPr>
        <w:t>benefits</w:t>
      </w:r>
      <w:r w:rsidR="002554C4" w:rsidRPr="003425F4">
        <w:rPr>
          <w:rFonts w:ascii="Verdana" w:hAnsi="Verdana"/>
          <w:sz w:val="20"/>
        </w:rPr>
        <w:t>’</w:t>
      </w:r>
      <w:r w:rsidRPr="003425F4">
        <w:rPr>
          <w:rFonts w:ascii="Verdana" w:hAnsi="Verdana"/>
          <w:sz w:val="20"/>
        </w:rPr>
        <w:t xml:space="preserve"> which had been used in the prior version of AASB 127 because it was discovered that some investors were seeking to avoid consolidating loss making subsidiaries by arguing that the losses were not ‘benefits’ to the investor!  The term </w:t>
      </w:r>
      <w:r w:rsidR="002554C4" w:rsidRPr="003425F4">
        <w:rPr>
          <w:rFonts w:ascii="Verdana" w:hAnsi="Verdana"/>
          <w:sz w:val="20"/>
        </w:rPr>
        <w:t>‘</w:t>
      </w:r>
      <w:r w:rsidRPr="003425F4">
        <w:rPr>
          <w:rFonts w:ascii="Verdana" w:hAnsi="Verdana"/>
          <w:sz w:val="20"/>
        </w:rPr>
        <w:t>returns</w:t>
      </w:r>
      <w:r w:rsidR="002554C4" w:rsidRPr="003425F4">
        <w:rPr>
          <w:rFonts w:ascii="Verdana" w:hAnsi="Verdana"/>
          <w:sz w:val="20"/>
        </w:rPr>
        <w:t>’</w:t>
      </w:r>
      <w:r w:rsidRPr="003425F4">
        <w:rPr>
          <w:rFonts w:ascii="Verdana" w:hAnsi="Verdana"/>
          <w:sz w:val="20"/>
        </w:rPr>
        <w:t xml:space="preserve"> was adopted because returns can be both positive and negative (AASB 10.B56)</w:t>
      </w:r>
      <w:r w:rsidR="00A42F50" w:rsidRPr="003425F4">
        <w:rPr>
          <w:rFonts w:ascii="Verdana" w:hAnsi="Verdana"/>
          <w:sz w:val="20"/>
        </w:rPr>
        <w:t xml:space="preserve">. </w:t>
      </w:r>
      <w:r w:rsidRPr="003425F4">
        <w:rPr>
          <w:rFonts w:ascii="Verdana" w:hAnsi="Verdana"/>
          <w:sz w:val="20"/>
        </w:rPr>
        <w:t>Some examples of potential returns from the investee to the investor are provided in AASB 10.B57 and include, but are not limited to, dividends, the ability to obtain resources not available to other parties (e.g., produce distribution channels or access to scarce raw materials), tax benefits, or economies of scale.</w:t>
      </w:r>
    </w:p>
    <w:p w:rsidR="00B93E7C" w:rsidRPr="003425F4" w:rsidRDefault="00B93E7C" w:rsidP="0057182A">
      <w:pPr>
        <w:ind w:firstLine="0"/>
        <w:jc w:val="left"/>
        <w:rPr>
          <w:rFonts w:ascii="Verdana" w:hAnsi="Verdana"/>
          <w:sz w:val="20"/>
        </w:rPr>
      </w:pPr>
    </w:p>
    <w:p w:rsidR="00B93E7C" w:rsidRPr="003425F4" w:rsidRDefault="00B93E7C" w:rsidP="0057182A">
      <w:pPr>
        <w:ind w:firstLine="0"/>
        <w:jc w:val="left"/>
        <w:rPr>
          <w:rFonts w:ascii="Verdana" w:hAnsi="Verdana"/>
          <w:b/>
          <w:sz w:val="20"/>
        </w:rPr>
      </w:pPr>
      <w:r w:rsidRPr="003425F4">
        <w:rPr>
          <w:rFonts w:ascii="Verdana" w:hAnsi="Verdana"/>
          <w:b/>
          <w:sz w:val="20"/>
        </w:rPr>
        <w:t xml:space="preserve">Link </w:t>
      </w:r>
      <w:r w:rsidR="0057595D" w:rsidRPr="003425F4">
        <w:rPr>
          <w:rFonts w:ascii="Verdana" w:hAnsi="Verdana"/>
          <w:b/>
          <w:sz w:val="20"/>
        </w:rPr>
        <w:t>between power and r</w:t>
      </w:r>
      <w:r w:rsidRPr="003425F4">
        <w:rPr>
          <w:rFonts w:ascii="Verdana" w:hAnsi="Verdana"/>
          <w:b/>
          <w:sz w:val="20"/>
        </w:rPr>
        <w:t>eturns</w:t>
      </w:r>
    </w:p>
    <w:p w:rsidR="00B93E7C" w:rsidRPr="003425F4" w:rsidRDefault="00B93E7C" w:rsidP="0057182A">
      <w:pPr>
        <w:ind w:firstLine="0"/>
        <w:jc w:val="left"/>
        <w:rPr>
          <w:rFonts w:ascii="Verdana" w:hAnsi="Verdana"/>
          <w:sz w:val="20"/>
        </w:rPr>
      </w:pPr>
      <w:r w:rsidRPr="003425F4">
        <w:rPr>
          <w:rFonts w:ascii="Verdana" w:hAnsi="Verdana"/>
          <w:sz w:val="20"/>
        </w:rPr>
        <w:t>The third component of the control definition is that the investor has to be able to use its power over the investee to impact the amount of return generated by the investee</w:t>
      </w:r>
      <w:r w:rsidR="00A42F50" w:rsidRPr="003425F4">
        <w:rPr>
          <w:rFonts w:ascii="Verdana" w:hAnsi="Verdana"/>
          <w:sz w:val="20"/>
        </w:rPr>
        <w:t xml:space="preserve">. </w:t>
      </w:r>
      <w:r w:rsidRPr="003425F4">
        <w:rPr>
          <w:rFonts w:ascii="Verdana" w:hAnsi="Verdana"/>
          <w:sz w:val="20"/>
        </w:rPr>
        <w:t>That is, it is not enough for the investor to be exposed to variable returns from the investee, it must be able to also have the ability to interact with the investee in such a way that it affects how much return the investee makes</w:t>
      </w:r>
      <w:r w:rsidR="00A42F50" w:rsidRPr="003425F4">
        <w:rPr>
          <w:rFonts w:ascii="Verdana" w:hAnsi="Verdana"/>
          <w:sz w:val="20"/>
        </w:rPr>
        <w:t xml:space="preserve">. </w:t>
      </w:r>
      <w:r w:rsidRPr="003425F4">
        <w:rPr>
          <w:rFonts w:ascii="Verdana" w:hAnsi="Verdana"/>
          <w:sz w:val="20"/>
        </w:rPr>
        <w:t>This component of the control definition is especially important in the context of our discussion of SPEs in section 1.5.5</w:t>
      </w:r>
      <w:r w:rsidR="00A42F50" w:rsidRPr="003425F4">
        <w:rPr>
          <w:rFonts w:ascii="Verdana" w:hAnsi="Verdana"/>
          <w:sz w:val="20"/>
        </w:rPr>
        <w:t xml:space="preserve">. </w:t>
      </w:r>
      <w:r w:rsidRPr="003425F4">
        <w:rPr>
          <w:rFonts w:ascii="Verdana" w:hAnsi="Verdana"/>
          <w:sz w:val="20"/>
        </w:rPr>
        <w:t>It was noted in that section that a bank, for instance, may enter into a securitization arrangement by creating an entity such as a trust that is placed on ‘auto-pilot’</w:t>
      </w:r>
      <w:r w:rsidR="00A42F50" w:rsidRPr="003425F4">
        <w:rPr>
          <w:rFonts w:ascii="Verdana" w:hAnsi="Verdana"/>
          <w:sz w:val="20"/>
        </w:rPr>
        <w:t xml:space="preserve">. </w:t>
      </w:r>
      <w:r w:rsidRPr="003425F4">
        <w:rPr>
          <w:rFonts w:ascii="Verdana" w:hAnsi="Verdana"/>
          <w:sz w:val="20"/>
        </w:rPr>
        <w:t xml:space="preserve">A key component of the auto-pilot </w:t>
      </w:r>
      <w:r w:rsidRPr="003425F4">
        <w:rPr>
          <w:rFonts w:ascii="Verdana" w:hAnsi="Verdana"/>
          <w:sz w:val="20"/>
        </w:rPr>
        <w:lastRenderedPageBreak/>
        <w:t>arrangement is that the management and decision-making responsibilities for the trust’s relevant activities is given by the bank to an ‘independent’ entity, the trustee</w:t>
      </w:r>
      <w:r w:rsidR="00A42F50" w:rsidRPr="003425F4">
        <w:rPr>
          <w:rFonts w:ascii="Verdana" w:hAnsi="Verdana"/>
          <w:sz w:val="20"/>
        </w:rPr>
        <w:t xml:space="preserve">. </w:t>
      </w:r>
      <w:r w:rsidRPr="003425F4">
        <w:rPr>
          <w:rFonts w:ascii="Verdana" w:hAnsi="Verdana"/>
          <w:sz w:val="20"/>
        </w:rPr>
        <w:t>The objective of the arrangement is to allow the bank to meet its securitization needs by transferring power over the trust’s relevant activities to the third party trustee while at the same time avoiding bringing the trust onto the group’s consolidated financial statements</w:t>
      </w:r>
      <w:r w:rsidR="00A42F50" w:rsidRPr="003425F4">
        <w:rPr>
          <w:rFonts w:ascii="Verdana" w:hAnsi="Verdana"/>
          <w:sz w:val="20"/>
        </w:rPr>
        <w:t xml:space="preserve">. </w:t>
      </w:r>
      <w:r w:rsidRPr="003425F4">
        <w:rPr>
          <w:rFonts w:ascii="Verdana" w:hAnsi="Verdana"/>
          <w:sz w:val="20"/>
        </w:rPr>
        <w:t>These types of situations are described in AASB 10.18 as ‘principal or agent’ arrangements; that is, it must be determined whether the trustee is the principal investor entity for the trust or whether the trustee is actually only acting as an agent on behalf of the bank (in other words, the bank is the principal and the trustee is the agent)</w:t>
      </w:r>
      <w:r w:rsidR="00A42F50" w:rsidRPr="003425F4">
        <w:rPr>
          <w:rFonts w:ascii="Verdana" w:hAnsi="Verdana"/>
          <w:sz w:val="20"/>
        </w:rPr>
        <w:t xml:space="preserve">. </w:t>
      </w:r>
      <w:r w:rsidRPr="003425F4">
        <w:rPr>
          <w:rFonts w:ascii="Verdana" w:hAnsi="Verdana"/>
          <w:sz w:val="20"/>
        </w:rPr>
        <w:t>If it is decided that the bank is a principal, then it has not transferred power over the SPE trust to the trustee and it will have to consolidate that SPE trust into the group’s consolidated financial statements</w:t>
      </w:r>
      <w:r w:rsidR="00A42F50" w:rsidRPr="003425F4">
        <w:rPr>
          <w:rFonts w:ascii="Verdana" w:hAnsi="Verdana"/>
          <w:sz w:val="20"/>
        </w:rPr>
        <w:t xml:space="preserve">. </w:t>
      </w:r>
    </w:p>
    <w:p w:rsidR="007402FC" w:rsidRPr="003425F4" w:rsidRDefault="007402FC" w:rsidP="0057182A">
      <w:pPr>
        <w:ind w:firstLine="0"/>
        <w:jc w:val="left"/>
        <w:rPr>
          <w:rFonts w:ascii="Verdana" w:hAnsi="Verdana"/>
          <w:sz w:val="20"/>
        </w:rPr>
      </w:pPr>
    </w:p>
    <w:p w:rsidR="00B93E7C" w:rsidRPr="003425F4" w:rsidRDefault="00B93E7C" w:rsidP="0057182A">
      <w:pPr>
        <w:ind w:firstLine="0"/>
        <w:jc w:val="left"/>
        <w:rPr>
          <w:rFonts w:ascii="Verdana" w:hAnsi="Verdana"/>
          <w:sz w:val="20"/>
        </w:rPr>
      </w:pPr>
      <w:r w:rsidRPr="003425F4">
        <w:rPr>
          <w:rFonts w:ascii="Verdana" w:hAnsi="Verdana"/>
          <w:sz w:val="20"/>
        </w:rPr>
        <w:t>AASB 10.B58</w:t>
      </w:r>
      <w:r w:rsidR="002554C4" w:rsidRPr="003425F4">
        <w:rPr>
          <w:rFonts w:ascii="Verdana" w:hAnsi="Verdana"/>
          <w:sz w:val="20"/>
        </w:rPr>
        <w:t>–</w:t>
      </w:r>
      <w:r w:rsidRPr="003425F4">
        <w:rPr>
          <w:rFonts w:ascii="Verdana" w:hAnsi="Verdana"/>
          <w:sz w:val="20"/>
        </w:rPr>
        <w:t>B75 provide implementation guidance on assessing whether a decision-maker is acting as a principal or as an agent for another investor</w:t>
      </w:r>
      <w:r w:rsidR="00A42F50" w:rsidRPr="003425F4">
        <w:rPr>
          <w:rFonts w:ascii="Verdana" w:hAnsi="Verdana"/>
          <w:sz w:val="20"/>
        </w:rPr>
        <w:t xml:space="preserve">. </w:t>
      </w:r>
      <w:r w:rsidRPr="003425F4">
        <w:rPr>
          <w:rFonts w:ascii="Verdana" w:hAnsi="Verdana"/>
          <w:sz w:val="20"/>
        </w:rPr>
        <w:t>Again, it is important to assess each case on its own facts but AASB 10.B60 suggests that factors that should be considered include:</w:t>
      </w:r>
    </w:p>
    <w:p w:rsidR="00B93E7C" w:rsidRPr="003425F4" w:rsidRDefault="00B93E7C" w:rsidP="0057182A">
      <w:pPr>
        <w:ind w:firstLine="0"/>
        <w:jc w:val="left"/>
        <w:rPr>
          <w:rFonts w:ascii="Verdana" w:hAnsi="Verdana"/>
          <w:sz w:val="20"/>
        </w:rPr>
      </w:pPr>
    </w:p>
    <w:p w:rsidR="00B93E7C" w:rsidRPr="003425F4" w:rsidRDefault="00B93E7C" w:rsidP="0057182A">
      <w:pPr>
        <w:ind w:left="720" w:firstLine="0"/>
        <w:jc w:val="left"/>
        <w:rPr>
          <w:rFonts w:ascii="Verdana" w:hAnsi="Verdana"/>
          <w:i/>
          <w:sz w:val="20"/>
        </w:rPr>
      </w:pPr>
      <w:r w:rsidRPr="003425F4">
        <w:rPr>
          <w:rFonts w:ascii="Verdana" w:hAnsi="Verdana"/>
          <w:i/>
          <w:sz w:val="20"/>
        </w:rPr>
        <w:t>The scope of the decision-maker’s authority over the investee</w:t>
      </w:r>
      <w:r w:rsidR="00A42F50" w:rsidRPr="003425F4">
        <w:rPr>
          <w:rFonts w:ascii="Verdana" w:hAnsi="Verdana"/>
          <w:i/>
          <w:sz w:val="20"/>
        </w:rPr>
        <w:t xml:space="preserve">. </w:t>
      </w:r>
      <w:r w:rsidRPr="003425F4">
        <w:rPr>
          <w:rFonts w:ascii="Verdana" w:hAnsi="Verdana"/>
          <w:i/>
          <w:sz w:val="20"/>
        </w:rPr>
        <w:t>If the decision-maker has considerable freedom to make decisions about the relevant activities of the investee, then it is more likely to be a principal;</w:t>
      </w:r>
    </w:p>
    <w:p w:rsidR="00B93E7C" w:rsidRPr="003425F4" w:rsidRDefault="00B93E7C" w:rsidP="0057182A">
      <w:pPr>
        <w:ind w:left="720" w:firstLine="0"/>
        <w:jc w:val="left"/>
        <w:rPr>
          <w:rFonts w:ascii="Verdana" w:hAnsi="Verdana"/>
          <w:i/>
          <w:sz w:val="20"/>
        </w:rPr>
      </w:pPr>
      <w:r w:rsidRPr="003425F4">
        <w:rPr>
          <w:rFonts w:ascii="Verdana" w:hAnsi="Verdana"/>
          <w:i/>
          <w:sz w:val="20"/>
        </w:rPr>
        <w:t>What rights are held by other parties?  For example, does another party have substantial and unilateral rights to remove the decision-maker (so-called ‘kick-out’ rights) or must a number of parties be required to act together before the decision-maker can be removed?;</w:t>
      </w:r>
    </w:p>
    <w:p w:rsidR="00B93E7C" w:rsidRPr="003425F4" w:rsidRDefault="00B93E7C" w:rsidP="0057182A">
      <w:pPr>
        <w:ind w:left="720" w:firstLine="0"/>
        <w:jc w:val="left"/>
        <w:rPr>
          <w:rFonts w:ascii="Verdana" w:hAnsi="Verdana"/>
          <w:i/>
          <w:sz w:val="20"/>
        </w:rPr>
      </w:pPr>
      <w:r w:rsidRPr="003425F4">
        <w:rPr>
          <w:rFonts w:ascii="Verdana" w:hAnsi="Verdana"/>
          <w:i/>
          <w:sz w:val="20"/>
        </w:rPr>
        <w:t>How is the remuneration of the decision-maker determined for its involvement in the investee?  If, for instance, the decision-maker’s remuneration is largely independent of the returns generated from the investee, then the decision-maker is more likely to be an agent rather than a principal;</w:t>
      </w:r>
    </w:p>
    <w:p w:rsidR="00B93E7C" w:rsidRPr="003425F4" w:rsidRDefault="00B93E7C" w:rsidP="0057182A">
      <w:pPr>
        <w:ind w:left="720" w:firstLine="0"/>
        <w:jc w:val="left"/>
        <w:rPr>
          <w:rFonts w:ascii="Verdana" w:hAnsi="Verdana"/>
          <w:i/>
          <w:sz w:val="20"/>
        </w:rPr>
      </w:pPr>
      <w:r w:rsidRPr="003425F4">
        <w:rPr>
          <w:rFonts w:ascii="Verdana" w:hAnsi="Verdana"/>
          <w:i/>
          <w:sz w:val="20"/>
        </w:rPr>
        <w:t>Does the decision-maker have financial interests other than remuneration in the investee that expose the decision-maker to the variability in returns that would be experienced by a principal? For example, what is the size, if any, of the decision-maker’s holding in the equity of the investee?</w:t>
      </w:r>
    </w:p>
    <w:p w:rsidR="0057595D" w:rsidRPr="003425F4" w:rsidRDefault="0057595D" w:rsidP="0057182A">
      <w:pPr>
        <w:ind w:left="720" w:firstLine="0"/>
        <w:jc w:val="left"/>
        <w:rPr>
          <w:rFonts w:ascii="Verdana" w:hAnsi="Verdana"/>
          <w:sz w:val="20"/>
        </w:rPr>
      </w:pPr>
    </w:p>
    <w:p w:rsidR="00B93E7C" w:rsidRPr="003425F4" w:rsidRDefault="00B93E7C" w:rsidP="0057182A">
      <w:pPr>
        <w:ind w:firstLine="0"/>
        <w:jc w:val="left"/>
        <w:rPr>
          <w:rFonts w:ascii="Verdana" w:hAnsi="Verdana"/>
          <w:sz w:val="20"/>
        </w:rPr>
      </w:pPr>
      <w:r w:rsidRPr="003425F4">
        <w:rPr>
          <w:rFonts w:ascii="Verdana" w:hAnsi="Verdana"/>
          <w:sz w:val="20"/>
        </w:rPr>
        <w:t xml:space="preserve">None of these factors in themselves is conclusive in determining whether a decision-maker is a principal or an agent for another investor and it may be that in practice it will be necessary to determine a decision-maker’s status on the balance of a variety of factors. </w:t>
      </w:r>
    </w:p>
    <w:p w:rsidR="00B93E7C" w:rsidRPr="003425F4" w:rsidRDefault="00B93E7C" w:rsidP="0057182A">
      <w:pPr>
        <w:ind w:firstLine="0"/>
        <w:jc w:val="left"/>
        <w:rPr>
          <w:rFonts w:ascii="Verdana" w:hAnsi="Verdana"/>
          <w:sz w:val="20"/>
        </w:rPr>
      </w:pPr>
      <w:r w:rsidRPr="003425F4">
        <w:rPr>
          <w:rFonts w:ascii="Verdana" w:hAnsi="Verdana"/>
          <w:sz w:val="20"/>
        </w:rPr>
        <w:t xml:space="preserve"> </w:t>
      </w:r>
    </w:p>
    <w:p w:rsidR="00B93E7C" w:rsidRPr="00375DC0" w:rsidRDefault="00B93E7C" w:rsidP="0057182A">
      <w:pPr>
        <w:ind w:firstLine="0"/>
        <w:jc w:val="left"/>
        <w:rPr>
          <w:rFonts w:ascii="Verdana" w:hAnsi="Verdana"/>
          <w:sz w:val="20"/>
        </w:rPr>
      </w:pPr>
      <w:r w:rsidRPr="003425F4">
        <w:rPr>
          <w:rFonts w:ascii="Verdana" w:hAnsi="Verdana"/>
          <w:sz w:val="20"/>
        </w:rPr>
        <w:t>In summary, the definition of control in AASB 10 requires the facts of each investor</w:t>
      </w:r>
      <w:r w:rsidR="000F273D" w:rsidRPr="003425F4">
        <w:rPr>
          <w:rFonts w:ascii="Verdana" w:hAnsi="Verdana"/>
          <w:sz w:val="20"/>
        </w:rPr>
        <w:t>–</w:t>
      </w:r>
      <w:r w:rsidRPr="003425F4">
        <w:rPr>
          <w:rFonts w:ascii="Verdana" w:hAnsi="Verdana"/>
          <w:sz w:val="20"/>
        </w:rPr>
        <w:t>investee relationship to be analysed to determine whether the three components of control have been satisfied; namely, does the investor have power to direct the relevant activities of the investee by having the current ability to exercise substantive rights; is the investor exposed to variable returns from its involvement with the investee; and does the investor have the ability to use its power over the investee to potentially vary the amount of returns generated from the investee</w:t>
      </w:r>
      <w:r w:rsidR="00A42F50" w:rsidRPr="003425F4">
        <w:rPr>
          <w:rFonts w:ascii="Verdana" w:hAnsi="Verdana"/>
          <w:sz w:val="20"/>
        </w:rPr>
        <w:t xml:space="preserve">. </w:t>
      </w:r>
      <w:r w:rsidRPr="003425F4">
        <w:rPr>
          <w:rFonts w:ascii="Verdana" w:hAnsi="Verdana"/>
          <w:sz w:val="20"/>
        </w:rPr>
        <w:t>If all three of these components are satisfied, then the investor controls the investee and the investor must prepare consolidated financial statements.</w:t>
      </w:r>
    </w:p>
    <w:p w:rsidR="00B93E7C" w:rsidRPr="00375DC0" w:rsidRDefault="00B93E7C" w:rsidP="0057182A">
      <w:pPr>
        <w:ind w:firstLine="0"/>
        <w:jc w:val="left"/>
        <w:rPr>
          <w:rFonts w:ascii="Verdana" w:hAnsi="Verdana"/>
          <w:sz w:val="20"/>
        </w:rPr>
      </w:pPr>
    </w:p>
    <w:p w:rsidR="002E290D" w:rsidRPr="004F0AA8" w:rsidRDefault="00CE72C4" w:rsidP="0057182A">
      <w:pPr>
        <w:ind w:firstLine="0"/>
        <w:jc w:val="left"/>
        <w:rPr>
          <w:rFonts w:ascii="Verdana" w:hAnsi="Verdana"/>
          <w:b/>
          <w:i/>
          <w:sz w:val="20"/>
        </w:rPr>
      </w:pPr>
      <w:r w:rsidRPr="004F0AA8">
        <w:rPr>
          <w:rFonts w:ascii="Verdana" w:hAnsi="Verdana"/>
          <w:b/>
          <w:i/>
          <w:sz w:val="20"/>
        </w:rPr>
        <w:t>Q1.1</w:t>
      </w:r>
      <w:r w:rsidR="009428EA" w:rsidRPr="004F0AA8">
        <w:rPr>
          <w:rFonts w:ascii="Verdana" w:hAnsi="Verdana"/>
          <w:b/>
          <w:i/>
          <w:sz w:val="20"/>
        </w:rPr>
        <w:t>2</w:t>
      </w:r>
      <w:r w:rsidRPr="004F0AA8">
        <w:rPr>
          <w:rFonts w:ascii="Verdana" w:hAnsi="Verdana"/>
          <w:b/>
          <w:i/>
          <w:sz w:val="20"/>
        </w:rPr>
        <w:t xml:space="preserve"> </w:t>
      </w:r>
      <w:r w:rsidR="002E290D" w:rsidRPr="004F0AA8">
        <w:rPr>
          <w:rFonts w:ascii="Verdana" w:hAnsi="Verdana"/>
          <w:b/>
          <w:i/>
          <w:sz w:val="20"/>
        </w:rPr>
        <w:t>D</w:t>
      </w:r>
      <w:r w:rsidRPr="004F0AA8">
        <w:rPr>
          <w:rFonts w:ascii="Verdana" w:hAnsi="Verdana"/>
          <w:b/>
          <w:i/>
          <w:sz w:val="20"/>
        </w:rPr>
        <w:t>etermining the power to control</w:t>
      </w:r>
      <w:r w:rsidR="00681DC8" w:rsidRPr="004F0AA8">
        <w:rPr>
          <w:rFonts w:ascii="Verdana" w:hAnsi="Verdana"/>
          <w:b/>
          <w:i/>
          <w:sz w:val="20"/>
        </w:rPr>
        <w:t xml:space="preserve"> </w:t>
      </w:r>
      <w:r w:rsidR="00681DC8" w:rsidRPr="00A21D35">
        <w:rPr>
          <w:rFonts w:ascii="Verdana" w:hAnsi="Verdana"/>
          <w:b/>
          <w:i/>
          <w:sz w:val="20"/>
        </w:rPr>
        <w:t>(Section 1.</w:t>
      </w:r>
      <w:r w:rsidR="006010D2" w:rsidRPr="00A21D35">
        <w:rPr>
          <w:rFonts w:ascii="Verdana" w:hAnsi="Verdana"/>
          <w:b/>
          <w:i/>
          <w:sz w:val="20"/>
        </w:rPr>
        <w:t>7</w:t>
      </w:r>
      <w:r w:rsidR="00681DC8" w:rsidRPr="00A21D35">
        <w:rPr>
          <w:rFonts w:ascii="Verdana" w:hAnsi="Verdana"/>
          <w:b/>
          <w:i/>
          <w:sz w:val="20"/>
        </w:rPr>
        <w:t>)</w:t>
      </w:r>
    </w:p>
    <w:p w:rsidR="002E290D" w:rsidRPr="00375DC0" w:rsidRDefault="002E290D" w:rsidP="0057182A">
      <w:pPr>
        <w:pStyle w:val="BodyText3"/>
        <w:jc w:val="left"/>
        <w:rPr>
          <w:rFonts w:ascii="Verdana" w:hAnsi="Verdana"/>
          <w:sz w:val="20"/>
        </w:rPr>
      </w:pPr>
    </w:p>
    <w:p w:rsidR="00BD4C4F" w:rsidRPr="00375DC0" w:rsidRDefault="00BD4C4F" w:rsidP="0057182A">
      <w:pPr>
        <w:pStyle w:val="BodyText3"/>
        <w:jc w:val="left"/>
        <w:rPr>
          <w:rFonts w:ascii="Verdana" w:hAnsi="Verdana"/>
          <w:b w:val="0"/>
          <w:sz w:val="20"/>
        </w:rPr>
      </w:pPr>
      <w:r w:rsidRPr="00375DC0">
        <w:rPr>
          <w:rFonts w:ascii="Verdana" w:hAnsi="Verdana"/>
          <w:sz w:val="20"/>
        </w:rPr>
        <w:t xml:space="preserve">Notes to instructors: </w:t>
      </w:r>
      <w:r w:rsidRPr="00375DC0">
        <w:rPr>
          <w:rFonts w:ascii="Verdana" w:hAnsi="Verdana"/>
          <w:b w:val="0"/>
          <w:sz w:val="20"/>
        </w:rPr>
        <w:t xml:space="preserve">The purpose of this question is to demonstrate how to build an argument for or against control. The usual steps involved in this </w:t>
      </w:r>
      <w:r w:rsidR="003F7AE5" w:rsidRPr="00375DC0">
        <w:rPr>
          <w:rFonts w:ascii="Verdana" w:hAnsi="Verdana"/>
          <w:b w:val="0"/>
          <w:sz w:val="20"/>
        </w:rPr>
        <w:t>process are</w:t>
      </w:r>
      <w:r w:rsidRPr="00375DC0">
        <w:rPr>
          <w:rFonts w:ascii="Verdana" w:hAnsi="Verdana"/>
          <w:b w:val="0"/>
          <w:sz w:val="20"/>
        </w:rPr>
        <w:t>:</w:t>
      </w:r>
    </w:p>
    <w:p w:rsidR="00BD4C4F" w:rsidRPr="00375DC0" w:rsidRDefault="00BD4C4F" w:rsidP="0057182A">
      <w:pPr>
        <w:pStyle w:val="BodyText3"/>
        <w:jc w:val="left"/>
        <w:rPr>
          <w:rFonts w:ascii="Verdana" w:hAnsi="Verdana"/>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BD4C4F" w:rsidRPr="0004589F">
        <w:tc>
          <w:tcPr>
            <w:tcW w:w="4264" w:type="dxa"/>
            <w:shd w:val="clear" w:color="auto" w:fill="auto"/>
          </w:tcPr>
          <w:p w:rsidR="00BD4C4F" w:rsidRPr="0004589F" w:rsidRDefault="00BD4C4F" w:rsidP="00892372">
            <w:pPr>
              <w:pStyle w:val="BodyText3"/>
              <w:jc w:val="center"/>
              <w:rPr>
                <w:rFonts w:ascii="Verdana" w:hAnsi="Verdana"/>
                <w:sz w:val="20"/>
              </w:rPr>
            </w:pPr>
            <w:r w:rsidRPr="0004589F">
              <w:rPr>
                <w:rFonts w:ascii="Verdana" w:hAnsi="Verdana"/>
                <w:sz w:val="20"/>
              </w:rPr>
              <w:t>Item</w:t>
            </w:r>
          </w:p>
        </w:tc>
        <w:tc>
          <w:tcPr>
            <w:tcW w:w="4264" w:type="dxa"/>
            <w:shd w:val="clear" w:color="auto" w:fill="auto"/>
          </w:tcPr>
          <w:p w:rsidR="00BD4C4F" w:rsidRPr="0004589F" w:rsidRDefault="00BD4C4F" w:rsidP="00892372">
            <w:pPr>
              <w:pStyle w:val="BodyText3"/>
              <w:jc w:val="center"/>
              <w:rPr>
                <w:rFonts w:ascii="Verdana" w:hAnsi="Verdana"/>
                <w:sz w:val="20"/>
              </w:rPr>
            </w:pPr>
            <w:r w:rsidRPr="0004589F">
              <w:rPr>
                <w:rFonts w:ascii="Verdana" w:hAnsi="Verdana"/>
                <w:sz w:val="20"/>
              </w:rPr>
              <w:t>Technical referenc</w:t>
            </w:r>
            <w:r w:rsidR="003F7AE5" w:rsidRPr="0004589F">
              <w:rPr>
                <w:rFonts w:ascii="Verdana" w:hAnsi="Verdana"/>
                <w:sz w:val="20"/>
              </w:rPr>
              <w:t>e(s)</w:t>
            </w:r>
          </w:p>
        </w:tc>
      </w:tr>
      <w:tr w:rsidR="00BD4C4F" w:rsidRPr="00375DC0">
        <w:tc>
          <w:tcPr>
            <w:tcW w:w="4264" w:type="dxa"/>
            <w:shd w:val="clear" w:color="auto" w:fill="auto"/>
          </w:tcPr>
          <w:p w:rsidR="00BD4C4F" w:rsidRPr="00375DC0" w:rsidRDefault="003F7AE5" w:rsidP="00E56DFF">
            <w:pPr>
              <w:pStyle w:val="BodyText3"/>
              <w:jc w:val="left"/>
              <w:rPr>
                <w:rFonts w:ascii="Verdana" w:hAnsi="Verdana"/>
                <w:b w:val="0"/>
                <w:sz w:val="20"/>
              </w:rPr>
            </w:pPr>
            <w:r w:rsidRPr="00375DC0">
              <w:rPr>
                <w:rFonts w:ascii="Verdana" w:hAnsi="Verdana"/>
                <w:b w:val="0"/>
                <w:sz w:val="20"/>
              </w:rPr>
              <w:t>Application of d</w:t>
            </w:r>
            <w:r w:rsidR="00BD4C4F" w:rsidRPr="00375DC0">
              <w:rPr>
                <w:rFonts w:ascii="Verdana" w:hAnsi="Verdana"/>
                <w:b w:val="0"/>
                <w:sz w:val="20"/>
              </w:rPr>
              <w:t>efinition of control</w:t>
            </w:r>
          </w:p>
        </w:tc>
        <w:tc>
          <w:tcPr>
            <w:tcW w:w="4264" w:type="dxa"/>
            <w:shd w:val="clear" w:color="auto" w:fill="auto"/>
          </w:tcPr>
          <w:p w:rsidR="00BD4C4F" w:rsidRPr="00375DC0" w:rsidRDefault="00BD4C4F" w:rsidP="00E56DFF">
            <w:pPr>
              <w:pStyle w:val="BodyText3"/>
              <w:jc w:val="left"/>
              <w:rPr>
                <w:rFonts w:ascii="Verdana" w:hAnsi="Verdana"/>
                <w:b w:val="0"/>
                <w:sz w:val="20"/>
              </w:rPr>
            </w:pPr>
            <w:r w:rsidRPr="00375DC0">
              <w:rPr>
                <w:rFonts w:ascii="Verdana" w:hAnsi="Verdana"/>
                <w:b w:val="0"/>
                <w:sz w:val="20"/>
              </w:rPr>
              <w:t>AASB 1</w:t>
            </w:r>
            <w:r w:rsidR="008C2DBC" w:rsidRPr="00375DC0">
              <w:rPr>
                <w:rFonts w:ascii="Verdana" w:hAnsi="Verdana"/>
                <w:b w:val="0"/>
                <w:sz w:val="20"/>
              </w:rPr>
              <w:t>0</w:t>
            </w:r>
            <w:r w:rsidRPr="00375DC0">
              <w:rPr>
                <w:rFonts w:ascii="Verdana" w:hAnsi="Verdana"/>
                <w:b w:val="0"/>
                <w:sz w:val="20"/>
              </w:rPr>
              <w:t>.</w:t>
            </w:r>
            <w:r w:rsidR="008C2DBC" w:rsidRPr="00375DC0">
              <w:rPr>
                <w:rFonts w:ascii="Verdana" w:hAnsi="Verdana"/>
                <w:b w:val="0"/>
                <w:sz w:val="20"/>
              </w:rPr>
              <w:t>5</w:t>
            </w:r>
            <w:r w:rsidR="001972EE">
              <w:rPr>
                <w:rFonts w:ascii="Verdana" w:hAnsi="Verdana"/>
                <w:b w:val="0"/>
                <w:sz w:val="20"/>
              </w:rPr>
              <w:t>–10.</w:t>
            </w:r>
            <w:r w:rsidR="008C2DBC" w:rsidRPr="00375DC0">
              <w:rPr>
                <w:rFonts w:ascii="Verdana" w:hAnsi="Verdana"/>
                <w:b w:val="0"/>
                <w:sz w:val="20"/>
              </w:rPr>
              <w:t>7</w:t>
            </w:r>
          </w:p>
        </w:tc>
      </w:tr>
      <w:tr w:rsidR="00BD4C4F" w:rsidRPr="00375DC0">
        <w:tc>
          <w:tcPr>
            <w:tcW w:w="4264" w:type="dxa"/>
            <w:shd w:val="clear" w:color="auto" w:fill="auto"/>
          </w:tcPr>
          <w:p w:rsidR="00BD4C4F" w:rsidRPr="00375DC0" w:rsidRDefault="003F7AE5" w:rsidP="00E56DFF">
            <w:pPr>
              <w:pStyle w:val="BodyText3"/>
              <w:jc w:val="left"/>
              <w:rPr>
                <w:rFonts w:ascii="Verdana" w:hAnsi="Verdana"/>
                <w:b w:val="0"/>
                <w:sz w:val="20"/>
              </w:rPr>
            </w:pPr>
            <w:r w:rsidRPr="00375DC0">
              <w:rPr>
                <w:rFonts w:ascii="Verdana" w:hAnsi="Verdana"/>
                <w:b w:val="0"/>
                <w:sz w:val="20"/>
              </w:rPr>
              <w:t>Consideration of c</w:t>
            </w:r>
            <w:r w:rsidR="00BD4C4F" w:rsidRPr="00375DC0">
              <w:rPr>
                <w:rFonts w:ascii="Verdana" w:hAnsi="Verdana"/>
                <w:b w:val="0"/>
                <w:sz w:val="20"/>
              </w:rPr>
              <w:t>ontrol without majority ownership</w:t>
            </w:r>
          </w:p>
        </w:tc>
        <w:tc>
          <w:tcPr>
            <w:tcW w:w="4264" w:type="dxa"/>
            <w:shd w:val="clear" w:color="auto" w:fill="auto"/>
          </w:tcPr>
          <w:p w:rsidR="00BD4C4F" w:rsidRPr="00375DC0" w:rsidRDefault="00BD4C4F" w:rsidP="00E56DFF">
            <w:pPr>
              <w:pStyle w:val="BodyText3"/>
              <w:jc w:val="left"/>
              <w:rPr>
                <w:rFonts w:ascii="Verdana" w:hAnsi="Verdana"/>
                <w:b w:val="0"/>
                <w:sz w:val="20"/>
              </w:rPr>
            </w:pPr>
            <w:r w:rsidRPr="00375DC0">
              <w:rPr>
                <w:rFonts w:ascii="Verdana" w:hAnsi="Verdana"/>
                <w:b w:val="0"/>
                <w:sz w:val="20"/>
              </w:rPr>
              <w:t>AASB 1</w:t>
            </w:r>
            <w:r w:rsidR="008C2DBC" w:rsidRPr="00375DC0">
              <w:rPr>
                <w:rFonts w:ascii="Verdana" w:hAnsi="Verdana"/>
                <w:b w:val="0"/>
                <w:sz w:val="20"/>
              </w:rPr>
              <w:t>0</w:t>
            </w:r>
            <w:r w:rsidRPr="00375DC0">
              <w:rPr>
                <w:rFonts w:ascii="Verdana" w:hAnsi="Verdana"/>
                <w:b w:val="0"/>
                <w:sz w:val="20"/>
              </w:rPr>
              <w:t>.</w:t>
            </w:r>
            <w:r w:rsidR="008C2DBC" w:rsidRPr="00375DC0">
              <w:rPr>
                <w:rFonts w:ascii="Verdana" w:hAnsi="Verdana"/>
                <w:b w:val="0"/>
                <w:sz w:val="20"/>
              </w:rPr>
              <w:t>B38</w:t>
            </w:r>
          </w:p>
        </w:tc>
      </w:tr>
      <w:tr w:rsidR="00BD4C4F" w:rsidRPr="00375DC0">
        <w:tc>
          <w:tcPr>
            <w:tcW w:w="4264" w:type="dxa"/>
            <w:shd w:val="clear" w:color="auto" w:fill="auto"/>
          </w:tcPr>
          <w:p w:rsidR="00BD4C4F" w:rsidRPr="00375DC0" w:rsidRDefault="003F7AE5" w:rsidP="00E56DFF">
            <w:pPr>
              <w:pStyle w:val="BodyText3"/>
              <w:jc w:val="left"/>
              <w:rPr>
                <w:rFonts w:ascii="Verdana" w:hAnsi="Verdana"/>
                <w:b w:val="0"/>
                <w:sz w:val="20"/>
              </w:rPr>
            </w:pPr>
            <w:r w:rsidRPr="00375DC0">
              <w:rPr>
                <w:rFonts w:ascii="Verdana" w:hAnsi="Verdana"/>
                <w:b w:val="0"/>
                <w:sz w:val="20"/>
              </w:rPr>
              <w:t>Implications of c</w:t>
            </w:r>
            <w:r w:rsidR="00BD4C4F" w:rsidRPr="00375DC0">
              <w:rPr>
                <w:rFonts w:ascii="Verdana" w:hAnsi="Verdana"/>
                <w:b w:val="0"/>
                <w:sz w:val="20"/>
              </w:rPr>
              <w:t>onvertible instruments</w:t>
            </w:r>
          </w:p>
        </w:tc>
        <w:tc>
          <w:tcPr>
            <w:tcW w:w="4264" w:type="dxa"/>
            <w:shd w:val="clear" w:color="auto" w:fill="auto"/>
          </w:tcPr>
          <w:p w:rsidR="00BD4C4F" w:rsidRPr="00375DC0" w:rsidRDefault="00BD4C4F" w:rsidP="00E56DFF">
            <w:pPr>
              <w:pStyle w:val="BodyText3"/>
              <w:jc w:val="left"/>
              <w:rPr>
                <w:rFonts w:ascii="Verdana" w:hAnsi="Verdana"/>
                <w:b w:val="0"/>
                <w:sz w:val="20"/>
              </w:rPr>
            </w:pPr>
            <w:r w:rsidRPr="00375DC0">
              <w:rPr>
                <w:rFonts w:ascii="Verdana" w:hAnsi="Verdana"/>
                <w:b w:val="0"/>
                <w:sz w:val="20"/>
              </w:rPr>
              <w:t>AASB 1</w:t>
            </w:r>
            <w:r w:rsidR="008C2DBC" w:rsidRPr="00375DC0">
              <w:rPr>
                <w:rFonts w:ascii="Verdana" w:hAnsi="Verdana"/>
                <w:b w:val="0"/>
                <w:sz w:val="20"/>
              </w:rPr>
              <w:t>0</w:t>
            </w:r>
            <w:r w:rsidRPr="00375DC0">
              <w:rPr>
                <w:rFonts w:ascii="Verdana" w:hAnsi="Verdana"/>
                <w:b w:val="0"/>
                <w:sz w:val="20"/>
              </w:rPr>
              <w:t>.</w:t>
            </w:r>
            <w:r w:rsidR="008C2DBC" w:rsidRPr="00375DC0">
              <w:rPr>
                <w:rFonts w:ascii="Verdana" w:hAnsi="Verdana"/>
                <w:b w:val="0"/>
                <w:sz w:val="20"/>
              </w:rPr>
              <w:t>B47–B50</w:t>
            </w:r>
          </w:p>
        </w:tc>
      </w:tr>
      <w:tr w:rsidR="00E11F18" w:rsidRPr="00375DC0">
        <w:tc>
          <w:tcPr>
            <w:tcW w:w="4264" w:type="dxa"/>
            <w:shd w:val="clear" w:color="auto" w:fill="auto"/>
          </w:tcPr>
          <w:p w:rsidR="00E11F18" w:rsidRPr="00375DC0" w:rsidRDefault="00E11F18" w:rsidP="00E56DFF">
            <w:pPr>
              <w:pStyle w:val="BodyText3"/>
              <w:jc w:val="left"/>
              <w:rPr>
                <w:rFonts w:ascii="Verdana" w:hAnsi="Verdana"/>
                <w:b w:val="0"/>
                <w:sz w:val="20"/>
              </w:rPr>
            </w:pPr>
            <w:r w:rsidRPr="00375DC0">
              <w:rPr>
                <w:rFonts w:ascii="Verdana" w:hAnsi="Verdana"/>
                <w:b w:val="0"/>
                <w:sz w:val="20"/>
              </w:rPr>
              <w:t>Conclusion with supporting reason</w:t>
            </w:r>
          </w:p>
        </w:tc>
        <w:tc>
          <w:tcPr>
            <w:tcW w:w="4264" w:type="dxa"/>
            <w:shd w:val="clear" w:color="auto" w:fill="auto"/>
          </w:tcPr>
          <w:p w:rsidR="00E11F18" w:rsidRPr="00375DC0" w:rsidRDefault="00E11F18" w:rsidP="00E56DFF">
            <w:pPr>
              <w:pStyle w:val="BodyText3"/>
              <w:jc w:val="left"/>
              <w:rPr>
                <w:rFonts w:ascii="Verdana" w:hAnsi="Verdana"/>
                <w:b w:val="0"/>
                <w:sz w:val="20"/>
              </w:rPr>
            </w:pPr>
            <w:r w:rsidRPr="00375DC0">
              <w:rPr>
                <w:rFonts w:ascii="Verdana" w:hAnsi="Verdana"/>
                <w:b w:val="0"/>
                <w:sz w:val="20"/>
              </w:rPr>
              <w:t>Application of the above technical references to the circumstances of each scenario</w:t>
            </w:r>
          </w:p>
        </w:tc>
      </w:tr>
    </w:tbl>
    <w:p w:rsidR="00BD4C4F" w:rsidRPr="00375DC0" w:rsidRDefault="00BD4C4F">
      <w:pPr>
        <w:pStyle w:val="BodyText3"/>
        <w:rPr>
          <w:rFonts w:ascii="Verdana" w:hAnsi="Verdana"/>
          <w:sz w:val="20"/>
        </w:rPr>
      </w:pPr>
    </w:p>
    <w:p w:rsidR="002E290D" w:rsidRPr="00375DC0" w:rsidRDefault="00681DC8" w:rsidP="000D0F44">
      <w:pPr>
        <w:numPr>
          <w:ilvl w:val="0"/>
          <w:numId w:val="60"/>
        </w:numPr>
        <w:ind w:hanging="357"/>
        <w:jc w:val="left"/>
        <w:rPr>
          <w:rFonts w:ascii="Verdana" w:hAnsi="Verdana"/>
          <w:sz w:val="20"/>
        </w:rPr>
      </w:pPr>
      <w:r w:rsidRPr="00375DC0">
        <w:rPr>
          <w:rFonts w:ascii="Verdana" w:hAnsi="Verdana"/>
          <w:sz w:val="20"/>
        </w:rPr>
        <w:t xml:space="preserve">Target </w:t>
      </w:r>
      <w:r w:rsidR="002E290D" w:rsidRPr="00375DC0">
        <w:rPr>
          <w:rFonts w:ascii="Verdana" w:hAnsi="Verdana"/>
          <w:sz w:val="20"/>
        </w:rPr>
        <w:t xml:space="preserve">Ltd holds a </w:t>
      </w:r>
      <w:r w:rsidRPr="00375DC0">
        <w:rPr>
          <w:rFonts w:ascii="Verdana" w:hAnsi="Verdana"/>
          <w:sz w:val="20"/>
        </w:rPr>
        <w:t xml:space="preserve">non-controlling interest </w:t>
      </w:r>
      <w:r w:rsidR="002E290D" w:rsidRPr="00375DC0">
        <w:rPr>
          <w:rFonts w:ascii="Verdana" w:hAnsi="Verdana"/>
          <w:sz w:val="20"/>
        </w:rPr>
        <w:t xml:space="preserve">shareholding in </w:t>
      </w:r>
      <w:r w:rsidRPr="00375DC0">
        <w:rPr>
          <w:rFonts w:ascii="Verdana" w:hAnsi="Verdana"/>
          <w:sz w:val="20"/>
        </w:rPr>
        <w:t>ABC</w:t>
      </w:r>
      <w:r w:rsidR="002E290D" w:rsidRPr="00375DC0">
        <w:rPr>
          <w:rFonts w:ascii="Verdana" w:hAnsi="Verdana"/>
          <w:sz w:val="20"/>
        </w:rPr>
        <w:t xml:space="preserve"> Pty Ltd but it has </w:t>
      </w:r>
      <w:r w:rsidRPr="00375DC0">
        <w:rPr>
          <w:rFonts w:ascii="Verdana" w:hAnsi="Verdana"/>
          <w:sz w:val="20"/>
        </w:rPr>
        <w:t xml:space="preserve">five </w:t>
      </w:r>
      <w:r w:rsidR="002E290D" w:rsidRPr="00375DC0">
        <w:rPr>
          <w:rFonts w:ascii="Verdana" w:hAnsi="Verdana"/>
          <w:sz w:val="20"/>
        </w:rPr>
        <w:t xml:space="preserve">of the </w:t>
      </w:r>
      <w:r w:rsidRPr="00375DC0">
        <w:rPr>
          <w:rFonts w:ascii="Verdana" w:hAnsi="Verdana"/>
          <w:sz w:val="20"/>
        </w:rPr>
        <w:t xml:space="preserve">seven </w:t>
      </w:r>
      <w:r w:rsidR="002E290D" w:rsidRPr="00375DC0">
        <w:rPr>
          <w:rFonts w:ascii="Verdana" w:hAnsi="Verdana"/>
          <w:sz w:val="20"/>
        </w:rPr>
        <w:t>seats on the board of directors</w:t>
      </w:r>
      <w:r w:rsidR="008C2DBC" w:rsidRPr="00375DC0">
        <w:rPr>
          <w:rFonts w:ascii="Verdana" w:hAnsi="Verdana"/>
          <w:sz w:val="20"/>
        </w:rPr>
        <w:t xml:space="preserve"> and</w:t>
      </w:r>
      <w:r w:rsidR="002E290D" w:rsidRPr="00375DC0">
        <w:rPr>
          <w:rFonts w:ascii="Verdana" w:hAnsi="Verdana"/>
          <w:sz w:val="20"/>
        </w:rPr>
        <w:t xml:space="preserve"> is responsible for operating and financial policies on a day-to-day basis.</w:t>
      </w:r>
      <w:r w:rsidR="004216A6">
        <w:rPr>
          <w:rFonts w:ascii="Verdana" w:hAnsi="Verdana"/>
          <w:sz w:val="20"/>
        </w:rPr>
        <w:t xml:space="preserve"> </w:t>
      </w:r>
      <w:r w:rsidR="002E290D" w:rsidRPr="00375DC0">
        <w:rPr>
          <w:rFonts w:ascii="Verdana" w:hAnsi="Verdana"/>
          <w:sz w:val="20"/>
        </w:rPr>
        <w:t xml:space="preserve">This scenario has resulted from an agreement with the majority shareholder (75%) of </w:t>
      </w:r>
      <w:r w:rsidRPr="00375DC0">
        <w:rPr>
          <w:rFonts w:ascii="Verdana" w:hAnsi="Verdana"/>
          <w:sz w:val="20"/>
        </w:rPr>
        <w:t xml:space="preserve">ABC </w:t>
      </w:r>
      <w:r w:rsidR="002E290D" w:rsidRPr="00375DC0">
        <w:rPr>
          <w:rFonts w:ascii="Verdana" w:hAnsi="Verdana"/>
          <w:sz w:val="20"/>
        </w:rPr>
        <w:t xml:space="preserve">Ltd, Mr and Mrs </w:t>
      </w:r>
      <w:r w:rsidRPr="00375DC0">
        <w:rPr>
          <w:rFonts w:ascii="Verdana" w:hAnsi="Verdana"/>
          <w:sz w:val="20"/>
        </w:rPr>
        <w:t>M</w:t>
      </w:r>
      <w:r w:rsidR="00B01024" w:rsidRPr="00375DC0">
        <w:rPr>
          <w:rFonts w:ascii="Verdana" w:hAnsi="Verdana"/>
          <w:sz w:val="20"/>
        </w:rPr>
        <w:t>.</w:t>
      </w:r>
      <w:r w:rsidR="002E290D" w:rsidRPr="00375DC0">
        <w:rPr>
          <w:rFonts w:ascii="Verdana" w:hAnsi="Verdana"/>
          <w:sz w:val="20"/>
        </w:rPr>
        <w:t xml:space="preserve"> All of the facts would need to be assessed very carefully here.</w:t>
      </w:r>
    </w:p>
    <w:p w:rsidR="002E290D" w:rsidRPr="00375DC0" w:rsidRDefault="002E290D" w:rsidP="000D0F44">
      <w:pPr>
        <w:ind w:left="357" w:hanging="357"/>
        <w:jc w:val="left"/>
        <w:rPr>
          <w:rFonts w:ascii="Verdana" w:hAnsi="Verdana"/>
          <w:sz w:val="20"/>
        </w:rPr>
      </w:pPr>
    </w:p>
    <w:p w:rsidR="002E290D" w:rsidRPr="00375DC0" w:rsidRDefault="000D0F44" w:rsidP="000D0F44">
      <w:pPr>
        <w:ind w:left="357" w:hanging="357"/>
        <w:jc w:val="left"/>
        <w:rPr>
          <w:rFonts w:ascii="Verdana" w:hAnsi="Verdana"/>
          <w:sz w:val="20"/>
        </w:rPr>
      </w:pPr>
      <w:r>
        <w:rPr>
          <w:rFonts w:ascii="Verdana" w:hAnsi="Verdana"/>
          <w:sz w:val="20"/>
        </w:rPr>
        <w:tab/>
      </w:r>
      <w:r w:rsidR="002E290D" w:rsidRPr="00375DC0">
        <w:rPr>
          <w:rFonts w:ascii="Verdana" w:hAnsi="Verdana"/>
          <w:sz w:val="20"/>
        </w:rPr>
        <w:t xml:space="preserve">Prima facie, </w:t>
      </w:r>
      <w:r w:rsidR="00681DC8" w:rsidRPr="00375DC0">
        <w:rPr>
          <w:rFonts w:ascii="Verdana" w:hAnsi="Verdana"/>
          <w:sz w:val="20"/>
        </w:rPr>
        <w:t xml:space="preserve">Target </w:t>
      </w:r>
      <w:r w:rsidR="002E290D" w:rsidRPr="00375DC0">
        <w:rPr>
          <w:rFonts w:ascii="Verdana" w:hAnsi="Verdana"/>
          <w:sz w:val="20"/>
        </w:rPr>
        <w:t xml:space="preserve">Ltd is in a position of control because of its ability to control the casting of a majority of votes at a meeting of the board of directors. </w:t>
      </w:r>
      <w:r w:rsidR="008C2DBC" w:rsidRPr="00375DC0">
        <w:rPr>
          <w:rFonts w:ascii="Verdana" w:hAnsi="Verdana"/>
          <w:sz w:val="20"/>
        </w:rPr>
        <w:t>However, AASB 10.12 indicates that an investor with the current ability to direct the relevant activities of the investee can still have power over the investee even if that power is not being exercised</w:t>
      </w:r>
      <w:r w:rsidR="00A42F50">
        <w:rPr>
          <w:rFonts w:ascii="Verdana" w:hAnsi="Verdana"/>
          <w:sz w:val="20"/>
        </w:rPr>
        <w:t xml:space="preserve">. </w:t>
      </w:r>
      <w:r w:rsidR="008C2DBC" w:rsidRPr="00375DC0">
        <w:rPr>
          <w:rFonts w:ascii="Verdana" w:hAnsi="Verdana"/>
          <w:sz w:val="20"/>
        </w:rPr>
        <w:t>In this case, Mr and Mrs M are closely monitoring the business and have the existing voting power to override any decision made by Target Ltd</w:t>
      </w:r>
      <w:r w:rsidR="00A42F50">
        <w:rPr>
          <w:rFonts w:ascii="Verdana" w:hAnsi="Verdana"/>
          <w:sz w:val="20"/>
        </w:rPr>
        <w:t xml:space="preserve">. </w:t>
      </w:r>
      <w:r w:rsidR="008C2DBC" w:rsidRPr="00375DC0">
        <w:rPr>
          <w:rFonts w:ascii="Verdana" w:hAnsi="Verdana"/>
          <w:sz w:val="20"/>
        </w:rPr>
        <w:t>Consequently, Target Ltd does not have power over ABC Ltd and so does not satisfy the control requirement of AASB 10</w:t>
      </w:r>
      <w:r w:rsidR="00A42F50">
        <w:rPr>
          <w:rFonts w:ascii="Verdana" w:hAnsi="Verdana"/>
          <w:sz w:val="20"/>
        </w:rPr>
        <w:t xml:space="preserve">. </w:t>
      </w:r>
      <w:r w:rsidR="008C2DBC" w:rsidRPr="00375DC0">
        <w:rPr>
          <w:rFonts w:ascii="Verdana" w:hAnsi="Verdana"/>
          <w:sz w:val="20"/>
        </w:rPr>
        <w:t>As the first criterion of the control concept in AASB 10.7 is not satisfied, it is not necessary to address the remaining criteria</w:t>
      </w:r>
      <w:r w:rsidR="00A42F50">
        <w:rPr>
          <w:rFonts w:ascii="Verdana" w:hAnsi="Verdana"/>
          <w:sz w:val="20"/>
        </w:rPr>
        <w:t xml:space="preserve">. </w:t>
      </w:r>
      <w:r w:rsidR="008C2DBC" w:rsidRPr="00375DC0">
        <w:rPr>
          <w:rFonts w:ascii="Verdana" w:hAnsi="Verdana"/>
          <w:sz w:val="20"/>
        </w:rPr>
        <w:t>Target Ltd does not need to consolidate ABC Ltd</w:t>
      </w:r>
      <w:r w:rsidR="00A42F50">
        <w:rPr>
          <w:rFonts w:ascii="Verdana" w:hAnsi="Verdana"/>
          <w:sz w:val="20"/>
        </w:rPr>
        <w:t xml:space="preserve">. </w:t>
      </w:r>
      <w:r w:rsidR="008C2DBC" w:rsidRPr="00375DC0">
        <w:rPr>
          <w:rFonts w:ascii="Verdana" w:hAnsi="Verdana"/>
          <w:sz w:val="20"/>
        </w:rPr>
        <w:t>(It is possible that Target Ltd has ‘significant influence’ over ABC Ltd and may, therefore, equity account for its investment in ABC Ltd</w:t>
      </w:r>
      <w:r w:rsidR="004216A6">
        <w:rPr>
          <w:rFonts w:ascii="Verdana" w:hAnsi="Verdana"/>
          <w:sz w:val="20"/>
        </w:rPr>
        <w:t>;</w:t>
      </w:r>
      <w:r w:rsidR="008C2DBC" w:rsidRPr="00375DC0">
        <w:rPr>
          <w:rFonts w:ascii="Verdana" w:hAnsi="Verdana"/>
          <w:sz w:val="20"/>
        </w:rPr>
        <w:t xml:space="preserve"> see </w:t>
      </w:r>
      <w:r w:rsidR="004216A6">
        <w:rPr>
          <w:rFonts w:ascii="Verdana" w:hAnsi="Verdana"/>
          <w:sz w:val="20"/>
        </w:rPr>
        <w:t>S</w:t>
      </w:r>
      <w:r w:rsidR="008C2DBC" w:rsidRPr="00375DC0">
        <w:rPr>
          <w:rFonts w:ascii="Verdana" w:hAnsi="Verdana"/>
          <w:sz w:val="20"/>
        </w:rPr>
        <w:t>ection 1.4.3 of the chapter</w:t>
      </w:r>
      <w:r w:rsidR="004216A6">
        <w:rPr>
          <w:rFonts w:ascii="Verdana" w:hAnsi="Verdana"/>
          <w:sz w:val="20"/>
        </w:rPr>
        <w:t>.</w:t>
      </w:r>
      <w:r w:rsidR="008C2DBC" w:rsidRPr="00375DC0">
        <w:rPr>
          <w:rFonts w:ascii="Verdana" w:hAnsi="Verdana"/>
          <w:sz w:val="20"/>
        </w:rPr>
        <w:t>)</w:t>
      </w:r>
    </w:p>
    <w:p w:rsidR="002E290D" w:rsidRPr="00375DC0" w:rsidRDefault="002E290D" w:rsidP="000D0F44">
      <w:pPr>
        <w:spacing w:before="120"/>
        <w:ind w:left="357" w:hanging="357"/>
        <w:jc w:val="left"/>
        <w:rPr>
          <w:rFonts w:ascii="Verdana" w:hAnsi="Verdana"/>
          <w:b/>
          <w:sz w:val="20"/>
        </w:rPr>
      </w:pPr>
    </w:p>
    <w:p w:rsidR="002E290D" w:rsidRPr="00375DC0" w:rsidRDefault="002E290D" w:rsidP="000D0F44">
      <w:pPr>
        <w:numPr>
          <w:ilvl w:val="0"/>
          <w:numId w:val="60"/>
        </w:numPr>
        <w:ind w:hanging="357"/>
        <w:jc w:val="left"/>
        <w:rPr>
          <w:rFonts w:ascii="Verdana" w:hAnsi="Verdana"/>
          <w:sz w:val="20"/>
        </w:rPr>
      </w:pPr>
      <w:r w:rsidRPr="00375DC0">
        <w:rPr>
          <w:rFonts w:ascii="Verdana" w:hAnsi="Verdana"/>
          <w:sz w:val="20"/>
        </w:rPr>
        <w:t xml:space="preserve">Default under a loan agreement has given </w:t>
      </w:r>
      <w:r w:rsidR="00B01024" w:rsidRPr="00375DC0">
        <w:rPr>
          <w:rFonts w:ascii="Verdana" w:hAnsi="Verdana"/>
          <w:sz w:val="20"/>
        </w:rPr>
        <w:t xml:space="preserve">Target </w:t>
      </w:r>
      <w:r w:rsidRPr="00375DC0">
        <w:rPr>
          <w:rFonts w:ascii="Verdana" w:hAnsi="Verdana"/>
          <w:sz w:val="20"/>
        </w:rPr>
        <w:t xml:space="preserve">Ltd </w:t>
      </w:r>
      <w:r w:rsidR="000D1685" w:rsidRPr="00375DC0">
        <w:rPr>
          <w:rFonts w:ascii="Verdana" w:hAnsi="Verdana"/>
          <w:sz w:val="20"/>
        </w:rPr>
        <w:t>power over</w:t>
      </w:r>
      <w:r w:rsidRPr="00375DC0">
        <w:rPr>
          <w:rFonts w:ascii="Verdana" w:hAnsi="Verdana"/>
          <w:sz w:val="20"/>
        </w:rPr>
        <w:t xml:space="preserve"> the financing decisions and cash payments of </w:t>
      </w:r>
      <w:r w:rsidR="00B01024" w:rsidRPr="00375DC0">
        <w:rPr>
          <w:rFonts w:ascii="Verdana" w:hAnsi="Verdana"/>
          <w:sz w:val="20"/>
        </w:rPr>
        <w:t>HHQ</w:t>
      </w:r>
      <w:r w:rsidRPr="00375DC0">
        <w:rPr>
          <w:rFonts w:ascii="Verdana" w:hAnsi="Verdana"/>
          <w:sz w:val="20"/>
        </w:rPr>
        <w:t xml:space="preserve"> Pty Ltd. </w:t>
      </w:r>
      <w:r w:rsidR="000D1685" w:rsidRPr="00375DC0">
        <w:rPr>
          <w:rFonts w:ascii="Verdana" w:hAnsi="Verdana"/>
          <w:sz w:val="20"/>
        </w:rPr>
        <w:t>To exercise power over HHQ Pty Ltd, Target Ltd must have substantive rights over the relevant activities of HHQ Pty Ltd</w:t>
      </w:r>
      <w:r w:rsidR="00A42F50">
        <w:rPr>
          <w:rFonts w:ascii="Verdana" w:hAnsi="Verdana"/>
          <w:sz w:val="20"/>
        </w:rPr>
        <w:t xml:space="preserve">. </w:t>
      </w:r>
      <w:r w:rsidR="000D1685" w:rsidRPr="00375DC0">
        <w:rPr>
          <w:rFonts w:ascii="Verdana" w:hAnsi="Verdana"/>
          <w:sz w:val="20"/>
        </w:rPr>
        <w:t>In this case, it seems likely that although Target Ltd exercises power over the financing and cash payments, it does not have the ability to direct the other relevant activities of HHQ Pty Ltd</w:t>
      </w:r>
      <w:r w:rsidR="00A42F50">
        <w:rPr>
          <w:rFonts w:ascii="Verdana" w:hAnsi="Verdana"/>
          <w:sz w:val="20"/>
        </w:rPr>
        <w:t xml:space="preserve">. </w:t>
      </w:r>
      <w:r w:rsidR="000D1685" w:rsidRPr="00375DC0">
        <w:rPr>
          <w:rFonts w:ascii="Verdana" w:hAnsi="Verdana"/>
          <w:sz w:val="20"/>
        </w:rPr>
        <w:t>More importantly, given that Target Ltd’s rights have arisen from default on a loan and that its powers are restricted only to financing and cash payments, it is likely that these powers are ‘protective’ rather than substantive (see AASB 10.B26–B28)</w:t>
      </w:r>
      <w:r w:rsidR="00A42F50">
        <w:rPr>
          <w:rFonts w:ascii="Verdana" w:hAnsi="Verdana"/>
          <w:sz w:val="20"/>
        </w:rPr>
        <w:t xml:space="preserve">. </w:t>
      </w:r>
      <w:r w:rsidR="000D1685" w:rsidRPr="00375DC0">
        <w:rPr>
          <w:rFonts w:ascii="Verdana" w:hAnsi="Verdana"/>
          <w:sz w:val="20"/>
        </w:rPr>
        <w:t xml:space="preserve">The powers that Target Ltd is currently exercising have only arisen because of an exceptional circumstance (AASB 10.B26) </w:t>
      </w:r>
      <w:r w:rsidR="000952B4" w:rsidRPr="00375DC0">
        <w:rPr>
          <w:rFonts w:ascii="Verdana" w:hAnsi="Verdana"/>
          <w:sz w:val="20"/>
        </w:rPr>
        <w:t>and are designed to protect the capital sum lent by Target Ltd rather than giving it power over all the relevant activities of HHQ Pty Ltd</w:t>
      </w:r>
      <w:r w:rsidR="00A42F50">
        <w:rPr>
          <w:rFonts w:ascii="Verdana" w:hAnsi="Verdana"/>
          <w:sz w:val="20"/>
        </w:rPr>
        <w:t xml:space="preserve">. </w:t>
      </w:r>
      <w:r w:rsidR="000952B4" w:rsidRPr="00375DC0">
        <w:rPr>
          <w:rFonts w:ascii="Verdana" w:hAnsi="Verdana"/>
          <w:sz w:val="20"/>
        </w:rPr>
        <w:t>AASB 10.B28 gives a lender’s right to restrict a borrower from certain activities as an example of a protective right</w:t>
      </w:r>
      <w:r w:rsidR="00A42F50">
        <w:rPr>
          <w:rFonts w:ascii="Verdana" w:hAnsi="Verdana"/>
          <w:sz w:val="20"/>
        </w:rPr>
        <w:t xml:space="preserve">. </w:t>
      </w:r>
      <w:r w:rsidR="000952B4" w:rsidRPr="00375DC0">
        <w:rPr>
          <w:rFonts w:ascii="Verdana" w:hAnsi="Verdana"/>
          <w:sz w:val="20"/>
        </w:rPr>
        <w:t>Consequently, Target Ltd does not control HHQ Pty Ltd and does not consolidate that entity.</w:t>
      </w:r>
    </w:p>
    <w:p w:rsidR="00B01024" w:rsidRPr="00375DC0" w:rsidRDefault="00B01024" w:rsidP="000D0F44">
      <w:pPr>
        <w:ind w:left="-360" w:hanging="357"/>
        <w:jc w:val="left"/>
        <w:rPr>
          <w:rFonts w:ascii="Verdana" w:hAnsi="Verdana"/>
          <w:b/>
          <w:sz w:val="20"/>
        </w:rPr>
      </w:pPr>
    </w:p>
    <w:p w:rsidR="002E290D" w:rsidRPr="00375DC0" w:rsidRDefault="002E290D" w:rsidP="000D0F44">
      <w:pPr>
        <w:numPr>
          <w:ilvl w:val="0"/>
          <w:numId w:val="60"/>
        </w:numPr>
        <w:ind w:hanging="357"/>
        <w:jc w:val="left"/>
        <w:rPr>
          <w:rFonts w:ascii="Verdana" w:hAnsi="Verdana"/>
          <w:sz w:val="20"/>
        </w:rPr>
      </w:pPr>
      <w:r w:rsidRPr="00375DC0">
        <w:rPr>
          <w:rFonts w:ascii="Verdana" w:hAnsi="Verdana"/>
          <w:sz w:val="20"/>
        </w:rPr>
        <w:t xml:space="preserve">As a joint shareholder with </w:t>
      </w:r>
      <w:r w:rsidR="003A45F8" w:rsidRPr="00375DC0">
        <w:rPr>
          <w:rFonts w:ascii="Verdana" w:hAnsi="Verdana"/>
          <w:sz w:val="20"/>
        </w:rPr>
        <w:t>Y</w:t>
      </w:r>
      <w:r w:rsidRPr="00375DC0">
        <w:rPr>
          <w:rFonts w:ascii="Verdana" w:hAnsi="Verdana"/>
          <w:sz w:val="20"/>
        </w:rPr>
        <w:t xml:space="preserve"> Pty Ltd</w:t>
      </w:r>
      <w:r w:rsidR="004216A6">
        <w:rPr>
          <w:rFonts w:ascii="Verdana" w:hAnsi="Verdana"/>
          <w:sz w:val="20"/>
        </w:rPr>
        <w:t>,</w:t>
      </w:r>
      <w:r w:rsidRPr="00375DC0">
        <w:rPr>
          <w:rFonts w:ascii="Verdana" w:hAnsi="Verdana"/>
          <w:sz w:val="20"/>
        </w:rPr>
        <w:t xml:space="preserve"> </w:t>
      </w:r>
      <w:r w:rsidR="003A45F8" w:rsidRPr="00375DC0">
        <w:rPr>
          <w:rFonts w:ascii="Verdana" w:hAnsi="Verdana"/>
          <w:sz w:val="20"/>
        </w:rPr>
        <w:t xml:space="preserve">Target </w:t>
      </w:r>
      <w:r w:rsidRPr="00375DC0">
        <w:rPr>
          <w:rFonts w:ascii="Verdana" w:hAnsi="Verdana"/>
          <w:sz w:val="20"/>
        </w:rPr>
        <w:t>Ltd is unlikely to be in a position of unilateral control.</w:t>
      </w:r>
      <w:r w:rsidR="00AA49FB" w:rsidRPr="00375DC0">
        <w:rPr>
          <w:rFonts w:ascii="Verdana" w:hAnsi="Verdana"/>
          <w:sz w:val="20"/>
        </w:rPr>
        <w:t xml:space="preserve"> </w:t>
      </w:r>
      <w:r w:rsidRPr="00375DC0">
        <w:rPr>
          <w:rFonts w:ascii="Verdana" w:hAnsi="Verdana"/>
          <w:sz w:val="20"/>
        </w:rPr>
        <w:t xml:space="preserve">Prima facie the position </w:t>
      </w:r>
      <w:r w:rsidR="000952B4" w:rsidRPr="00375DC0">
        <w:rPr>
          <w:rFonts w:ascii="Verdana" w:hAnsi="Verdana"/>
          <w:sz w:val="20"/>
        </w:rPr>
        <w:t xml:space="preserve">may be </w:t>
      </w:r>
      <w:r w:rsidRPr="00375DC0">
        <w:rPr>
          <w:rFonts w:ascii="Verdana" w:hAnsi="Verdana"/>
          <w:sz w:val="20"/>
        </w:rPr>
        <w:t xml:space="preserve">one of </w:t>
      </w:r>
      <w:r w:rsidR="003A45F8" w:rsidRPr="00375DC0">
        <w:rPr>
          <w:rFonts w:ascii="Verdana" w:hAnsi="Verdana"/>
          <w:sz w:val="20"/>
        </w:rPr>
        <w:t>X</w:t>
      </w:r>
      <w:r w:rsidRPr="00375DC0">
        <w:rPr>
          <w:rFonts w:ascii="Verdana" w:hAnsi="Verdana"/>
          <w:sz w:val="20"/>
        </w:rPr>
        <w:t xml:space="preserve"> Pty Ltd being subject to ‘joint control’ by </w:t>
      </w:r>
      <w:r w:rsidR="003A45F8" w:rsidRPr="00375DC0">
        <w:rPr>
          <w:rFonts w:ascii="Verdana" w:hAnsi="Verdana"/>
          <w:sz w:val="20"/>
        </w:rPr>
        <w:t xml:space="preserve">Target </w:t>
      </w:r>
      <w:r w:rsidRPr="00375DC0">
        <w:rPr>
          <w:rFonts w:ascii="Verdana" w:hAnsi="Verdana"/>
          <w:sz w:val="20"/>
        </w:rPr>
        <w:t xml:space="preserve">Ltd and </w:t>
      </w:r>
      <w:r w:rsidR="003A45F8" w:rsidRPr="00375DC0">
        <w:rPr>
          <w:rFonts w:ascii="Verdana" w:hAnsi="Verdana"/>
          <w:sz w:val="20"/>
        </w:rPr>
        <w:t>X</w:t>
      </w:r>
      <w:r w:rsidRPr="00375DC0">
        <w:rPr>
          <w:rFonts w:ascii="Verdana" w:hAnsi="Verdana"/>
          <w:sz w:val="20"/>
        </w:rPr>
        <w:t xml:space="preserve"> Pty Ltd</w:t>
      </w:r>
      <w:r w:rsidR="000952B4" w:rsidRPr="00375DC0">
        <w:rPr>
          <w:rFonts w:ascii="Verdana" w:hAnsi="Verdana"/>
          <w:sz w:val="20"/>
        </w:rPr>
        <w:t xml:space="preserve">, although it would be necessary that there is a contractual agreement that all decisions about the relevant activities would need the unanimous consent of Target and Y Pty Ltd (see </w:t>
      </w:r>
      <w:r w:rsidR="004216A6">
        <w:rPr>
          <w:rFonts w:ascii="Verdana" w:hAnsi="Verdana"/>
          <w:sz w:val="20"/>
        </w:rPr>
        <w:t>S</w:t>
      </w:r>
      <w:r w:rsidR="000952B4" w:rsidRPr="00375DC0">
        <w:rPr>
          <w:rFonts w:ascii="Verdana" w:hAnsi="Verdana"/>
          <w:sz w:val="20"/>
        </w:rPr>
        <w:t>ection 1.4.2 of this chapter)</w:t>
      </w:r>
      <w:r w:rsidR="00A42F50">
        <w:rPr>
          <w:rFonts w:ascii="Verdana" w:hAnsi="Verdana"/>
          <w:sz w:val="20"/>
        </w:rPr>
        <w:t xml:space="preserve">. </w:t>
      </w:r>
      <w:r w:rsidR="000952B4" w:rsidRPr="00375DC0">
        <w:rPr>
          <w:rFonts w:ascii="Verdana" w:hAnsi="Verdana"/>
          <w:sz w:val="20"/>
        </w:rPr>
        <w:t>In this particular case, it would seem that Target Ltd has power over one set of relevant activities of X Pty Ltd (i.e., financing) but Y Pty Ltd has power over the other relevant activities of X Pty Ltd (i.e., management of operations)</w:t>
      </w:r>
      <w:r w:rsidR="00A42F50">
        <w:rPr>
          <w:rFonts w:ascii="Verdana" w:hAnsi="Verdana"/>
          <w:sz w:val="20"/>
        </w:rPr>
        <w:t xml:space="preserve">. </w:t>
      </w:r>
      <w:r w:rsidR="000952B4" w:rsidRPr="00375DC0">
        <w:rPr>
          <w:rFonts w:ascii="Verdana" w:hAnsi="Verdana"/>
          <w:sz w:val="20"/>
        </w:rPr>
        <w:t xml:space="preserve">AASB 10.B13 suggests that when two </w:t>
      </w:r>
      <w:r w:rsidR="000952B4" w:rsidRPr="00375DC0">
        <w:rPr>
          <w:rFonts w:ascii="Verdana" w:hAnsi="Verdana"/>
          <w:sz w:val="20"/>
        </w:rPr>
        <w:lastRenderedPageBreak/>
        <w:t>or more investors have power over different relevant activities, it may become necessary to decide which of the relevant activities most significantly affects the returns of the investee</w:t>
      </w:r>
      <w:r w:rsidR="004216A6">
        <w:rPr>
          <w:rFonts w:ascii="Verdana" w:hAnsi="Verdana"/>
          <w:sz w:val="20"/>
        </w:rPr>
        <w:t>;</w:t>
      </w:r>
      <w:r w:rsidR="000952B4" w:rsidRPr="00375DC0">
        <w:rPr>
          <w:rFonts w:ascii="Verdana" w:hAnsi="Verdana"/>
          <w:sz w:val="20"/>
        </w:rPr>
        <w:t xml:space="preserve"> it might be suggested that as X Pty Ltd is an operating concern, it is likely that the operations are the relevant activity most likely to significantly impact on returns and this would result in Y Pt</w:t>
      </w:r>
      <w:r w:rsidR="002554C4">
        <w:rPr>
          <w:rFonts w:ascii="Verdana" w:hAnsi="Verdana"/>
          <w:sz w:val="20"/>
        </w:rPr>
        <w:t>y</w:t>
      </w:r>
      <w:r w:rsidR="000952B4" w:rsidRPr="00375DC0">
        <w:rPr>
          <w:rFonts w:ascii="Verdana" w:hAnsi="Verdana"/>
          <w:sz w:val="20"/>
        </w:rPr>
        <w:t xml:space="preserve"> Ltd having power, not Target Ltd</w:t>
      </w:r>
      <w:r w:rsidR="00A42F50">
        <w:rPr>
          <w:rFonts w:ascii="Verdana" w:hAnsi="Verdana"/>
          <w:sz w:val="20"/>
        </w:rPr>
        <w:t xml:space="preserve">. </w:t>
      </w:r>
      <w:r w:rsidR="000952B4" w:rsidRPr="00375DC0">
        <w:rPr>
          <w:rFonts w:ascii="Verdana" w:hAnsi="Verdana"/>
          <w:sz w:val="20"/>
        </w:rPr>
        <w:t>Based on this analysis, Target Ltd would not consolidate X Pty Ltd.</w:t>
      </w:r>
    </w:p>
    <w:p w:rsidR="002E290D" w:rsidRPr="00375DC0" w:rsidRDefault="002E290D" w:rsidP="000D0F44">
      <w:pPr>
        <w:ind w:left="-360" w:hanging="357"/>
        <w:jc w:val="left"/>
        <w:rPr>
          <w:rFonts w:ascii="Verdana" w:hAnsi="Verdana"/>
          <w:sz w:val="20"/>
        </w:rPr>
      </w:pPr>
    </w:p>
    <w:p w:rsidR="002E290D" w:rsidRPr="00A21D35" w:rsidRDefault="00FB2BA8" w:rsidP="000D0F44">
      <w:pPr>
        <w:pStyle w:val="BodyText3"/>
        <w:numPr>
          <w:ilvl w:val="0"/>
          <w:numId w:val="60"/>
        </w:numPr>
        <w:ind w:hanging="357"/>
        <w:jc w:val="left"/>
        <w:rPr>
          <w:rFonts w:ascii="Verdana" w:hAnsi="Verdana"/>
          <w:b w:val="0"/>
          <w:sz w:val="20"/>
        </w:rPr>
      </w:pPr>
      <w:r w:rsidRPr="004216A6">
        <w:rPr>
          <w:rFonts w:ascii="Verdana" w:hAnsi="Verdana"/>
          <w:b w:val="0"/>
          <w:sz w:val="20"/>
        </w:rPr>
        <w:t>In this situation</w:t>
      </w:r>
      <w:r w:rsidR="004216A6">
        <w:rPr>
          <w:rFonts w:ascii="Verdana" w:hAnsi="Verdana"/>
          <w:b w:val="0"/>
          <w:sz w:val="20"/>
        </w:rPr>
        <w:t>,</w:t>
      </w:r>
      <w:r w:rsidRPr="004216A6">
        <w:rPr>
          <w:rFonts w:ascii="Verdana" w:hAnsi="Verdana"/>
          <w:b w:val="0"/>
          <w:sz w:val="20"/>
        </w:rPr>
        <w:t xml:space="preserve"> it is necessary to determine whether Target Ltd is operating the trust as a principal or as an agent on behalf of the beneficiaries (AASB 10.B58)</w:t>
      </w:r>
      <w:r w:rsidR="00A42F50">
        <w:rPr>
          <w:rFonts w:ascii="Verdana" w:hAnsi="Verdana"/>
          <w:b w:val="0"/>
          <w:sz w:val="20"/>
        </w:rPr>
        <w:t xml:space="preserve">. </w:t>
      </w:r>
      <w:r w:rsidR="000143B8" w:rsidRPr="004216A6">
        <w:rPr>
          <w:rFonts w:ascii="Verdana" w:hAnsi="Verdana"/>
          <w:b w:val="0"/>
          <w:sz w:val="20"/>
        </w:rPr>
        <w:t>AASB 10.B60 identifies four factors that are indicative of the decision</w:t>
      </w:r>
      <w:r w:rsidR="000F273D">
        <w:rPr>
          <w:rFonts w:ascii="Verdana" w:hAnsi="Verdana"/>
          <w:b w:val="0"/>
          <w:sz w:val="20"/>
        </w:rPr>
        <w:t>-</w:t>
      </w:r>
      <w:r w:rsidR="000143B8" w:rsidRPr="004216A6">
        <w:rPr>
          <w:rFonts w:ascii="Verdana" w:hAnsi="Verdana"/>
          <w:b w:val="0"/>
          <w:sz w:val="20"/>
        </w:rPr>
        <w:t>maker (i.e., Target Ltd) being an agent rather than a principal</w:t>
      </w:r>
      <w:r w:rsidR="00A42F50">
        <w:rPr>
          <w:rFonts w:ascii="Verdana" w:hAnsi="Verdana"/>
          <w:b w:val="0"/>
          <w:sz w:val="20"/>
        </w:rPr>
        <w:t xml:space="preserve">. </w:t>
      </w:r>
      <w:r w:rsidR="000143B8" w:rsidRPr="004216A6">
        <w:rPr>
          <w:rFonts w:ascii="Verdana" w:hAnsi="Verdana"/>
          <w:b w:val="0"/>
          <w:sz w:val="20"/>
        </w:rPr>
        <w:t xml:space="preserve">These indicators are: the scope of Target Ltd’s decision-making authority; the rights held by others (e.g., their ability to dismiss Target Ltd as trustee); the remuneration to which Target Ltd is entitled (e.g., is the remuneration comparable to ordinary market conditions); </w:t>
      </w:r>
      <w:r w:rsidR="000F273D">
        <w:rPr>
          <w:rFonts w:ascii="Verdana" w:hAnsi="Verdana"/>
          <w:b w:val="0"/>
          <w:sz w:val="20"/>
        </w:rPr>
        <w:t xml:space="preserve">and </w:t>
      </w:r>
      <w:r w:rsidR="000143B8" w:rsidRPr="004216A6">
        <w:rPr>
          <w:rFonts w:ascii="Verdana" w:hAnsi="Verdana"/>
          <w:b w:val="0"/>
          <w:sz w:val="20"/>
        </w:rPr>
        <w:t>the extent to which Target Ltd is exposed to variability in returns from other interests it might have in the trust</w:t>
      </w:r>
      <w:r w:rsidR="00A42F50">
        <w:rPr>
          <w:rFonts w:ascii="Verdana" w:hAnsi="Verdana"/>
          <w:b w:val="0"/>
          <w:sz w:val="20"/>
        </w:rPr>
        <w:t xml:space="preserve">. </w:t>
      </w:r>
      <w:r w:rsidR="000143B8" w:rsidRPr="004216A6">
        <w:rPr>
          <w:rFonts w:ascii="Verdana" w:hAnsi="Verdana"/>
          <w:b w:val="0"/>
          <w:sz w:val="20"/>
        </w:rPr>
        <w:t xml:space="preserve">The facts of the question are silent on some of these factors </w:t>
      </w:r>
      <w:r w:rsidR="00896A12" w:rsidRPr="004216A6">
        <w:rPr>
          <w:rFonts w:ascii="Verdana" w:hAnsi="Verdana"/>
          <w:b w:val="0"/>
          <w:sz w:val="20"/>
        </w:rPr>
        <w:t>(which are only indicators anyway) but given that Target Ltd must act in accordance with the instructions of Mr F, it seems likely that it actually has very limited decision</w:t>
      </w:r>
      <w:r w:rsidR="000F273D">
        <w:rPr>
          <w:rFonts w:ascii="Verdana" w:hAnsi="Verdana"/>
          <w:b w:val="0"/>
          <w:sz w:val="20"/>
        </w:rPr>
        <w:t>-</w:t>
      </w:r>
      <w:r w:rsidR="00896A12" w:rsidRPr="004216A6">
        <w:rPr>
          <w:rFonts w:ascii="Verdana" w:hAnsi="Verdana"/>
          <w:b w:val="0"/>
          <w:sz w:val="20"/>
        </w:rPr>
        <w:t>making authority (if any at all)</w:t>
      </w:r>
      <w:r w:rsidR="00A42F50">
        <w:rPr>
          <w:rFonts w:ascii="Verdana" w:hAnsi="Verdana"/>
          <w:b w:val="0"/>
          <w:sz w:val="20"/>
        </w:rPr>
        <w:t xml:space="preserve">. </w:t>
      </w:r>
      <w:r w:rsidR="00896A12" w:rsidRPr="004216A6">
        <w:rPr>
          <w:rFonts w:ascii="Verdana" w:hAnsi="Verdana"/>
          <w:b w:val="0"/>
          <w:sz w:val="20"/>
        </w:rPr>
        <w:t>It is also common for a trust deed to allow beneficiaries to remove a trustee that is not acting in their best interests which gives them some so-called ‘kick-out’ rights</w:t>
      </w:r>
      <w:r w:rsidR="00A42F50">
        <w:rPr>
          <w:rFonts w:ascii="Verdana" w:hAnsi="Verdana"/>
          <w:b w:val="0"/>
          <w:sz w:val="20"/>
        </w:rPr>
        <w:t xml:space="preserve">. </w:t>
      </w:r>
      <w:r w:rsidR="00896A12" w:rsidRPr="004216A6">
        <w:rPr>
          <w:rFonts w:ascii="Verdana" w:hAnsi="Verdana"/>
          <w:b w:val="0"/>
          <w:sz w:val="20"/>
        </w:rPr>
        <w:t>Based on the information available, it is concluded that Target Ltd is acting as an agent rather than a principal with regard to its decision making for the King Arthur trust</w:t>
      </w:r>
      <w:r w:rsidR="00A42F50">
        <w:rPr>
          <w:rFonts w:ascii="Verdana" w:hAnsi="Verdana"/>
          <w:b w:val="0"/>
          <w:sz w:val="20"/>
        </w:rPr>
        <w:t xml:space="preserve">. </w:t>
      </w:r>
      <w:r w:rsidR="00896A12" w:rsidRPr="004216A6">
        <w:rPr>
          <w:rFonts w:ascii="Verdana" w:hAnsi="Verdana"/>
          <w:b w:val="0"/>
          <w:sz w:val="20"/>
        </w:rPr>
        <w:t>As such, Target Ltd does not control the King Arthur trust and would not consolidate it.</w:t>
      </w:r>
      <w:r w:rsidR="002E290D" w:rsidRPr="00A21D35">
        <w:rPr>
          <w:rFonts w:ascii="Verdana" w:hAnsi="Verdana"/>
          <w:b w:val="0"/>
          <w:sz w:val="20"/>
        </w:rPr>
        <w:t xml:space="preserve"> </w:t>
      </w:r>
    </w:p>
    <w:p w:rsidR="002E290D" w:rsidRPr="00375DC0" w:rsidRDefault="002E290D" w:rsidP="000D0F44">
      <w:pPr>
        <w:spacing w:before="120"/>
        <w:ind w:left="-360" w:hanging="357"/>
        <w:jc w:val="left"/>
        <w:rPr>
          <w:rFonts w:ascii="Verdana" w:hAnsi="Verdana"/>
          <w:b/>
          <w:sz w:val="20"/>
        </w:rPr>
      </w:pPr>
    </w:p>
    <w:p w:rsidR="002E290D" w:rsidRPr="00375DC0" w:rsidRDefault="00C64988" w:rsidP="000D0F44">
      <w:pPr>
        <w:numPr>
          <w:ilvl w:val="0"/>
          <w:numId w:val="60"/>
        </w:numPr>
        <w:ind w:hanging="357"/>
        <w:jc w:val="left"/>
        <w:rPr>
          <w:rFonts w:ascii="Verdana" w:hAnsi="Verdana"/>
          <w:sz w:val="20"/>
        </w:rPr>
      </w:pPr>
      <w:r w:rsidRPr="00375DC0">
        <w:rPr>
          <w:rFonts w:ascii="Verdana" w:hAnsi="Verdana"/>
          <w:sz w:val="20"/>
        </w:rPr>
        <w:t xml:space="preserve">Target </w:t>
      </w:r>
      <w:r w:rsidR="002E290D" w:rsidRPr="00375DC0">
        <w:rPr>
          <w:rFonts w:ascii="Verdana" w:hAnsi="Verdana"/>
          <w:sz w:val="20"/>
        </w:rPr>
        <w:t xml:space="preserve">Ltd is a passive investor as evidenced by it having no seats on the board of directors of </w:t>
      </w:r>
      <w:r w:rsidRPr="00375DC0">
        <w:rPr>
          <w:rFonts w:ascii="Verdana" w:hAnsi="Verdana"/>
          <w:sz w:val="20"/>
        </w:rPr>
        <w:t>BIJ</w:t>
      </w:r>
      <w:r w:rsidR="002E290D" w:rsidRPr="00375DC0">
        <w:rPr>
          <w:rFonts w:ascii="Verdana" w:hAnsi="Verdana"/>
          <w:sz w:val="20"/>
        </w:rPr>
        <w:t xml:space="preserve"> Pty Ltd.</w:t>
      </w:r>
      <w:r w:rsidR="00AA49FB" w:rsidRPr="00375DC0">
        <w:rPr>
          <w:rFonts w:ascii="Verdana" w:hAnsi="Verdana"/>
          <w:sz w:val="20"/>
        </w:rPr>
        <w:t xml:space="preserve"> </w:t>
      </w:r>
      <w:r w:rsidR="002E290D" w:rsidRPr="00375DC0">
        <w:rPr>
          <w:rFonts w:ascii="Verdana" w:hAnsi="Verdana"/>
          <w:sz w:val="20"/>
        </w:rPr>
        <w:t>Nonetheless</w:t>
      </w:r>
      <w:r w:rsidR="000F273D">
        <w:rPr>
          <w:rFonts w:ascii="Verdana" w:hAnsi="Verdana"/>
          <w:sz w:val="20"/>
        </w:rPr>
        <w:t>,</w:t>
      </w:r>
      <w:r w:rsidR="002E290D" w:rsidRPr="00375DC0">
        <w:rPr>
          <w:rFonts w:ascii="Verdana" w:hAnsi="Verdana"/>
          <w:sz w:val="20"/>
        </w:rPr>
        <w:t xml:space="preserve"> </w:t>
      </w:r>
      <w:r w:rsidRPr="00375DC0">
        <w:rPr>
          <w:rFonts w:ascii="Verdana" w:hAnsi="Verdana"/>
          <w:sz w:val="20"/>
        </w:rPr>
        <w:t xml:space="preserve">Target </w:t>
      </w:r>
      <w:r w:rsidR="002E290D" w:rsidRPr="00375DC0">
        <w:rPr>
          <w:rFonts w:ascii="Verdana" w:hAnsi="Verdana"/>
          <w:sz w:val="20"/>
        </w:rPr>
        <w:t>Ltd’s 75% shareholding is likely to convey the power to govern decision making as envisaged in the definition of control</w:t>
      </w:r>
      <w:r w:rsidR="008C65D4" w:rsidRPr="00375DC0">
        <w:rPr>
          <w:rFonts w:ascii="Verdana" w:hAnsi="Verdana"/>
          <w:sz w:val="20"/>
        </w:rPr>
        <w:t xml:space="preserve"> (AASB 10.B35)</w:t>
      </w:r>
      <w:r w:rsidR="002E290D" w:rsidRPr="00375DC0">
        <w:rPr>
          <w:rFonts w:ascii="Verdana" w:hAnsi="Verdana"/>
          <w:sz w:val="20"/>
        </w:rPr>
        <w:t>.</w:t>
      </w:r>
      <w:r w:rsidR="00AA49FB" w:rsidRPr="00375DC0">
        <w:rPr>
          <w:rFonts w:ascii="Verdana" w:hAnsi="Verdana"/>
          <w:sz w:val="20"/>
        </w:rPr>
        <w:t xml:space="preserve"> </w:t>
      </w:r>
      <w:r w:rsidR="002E290D" w:rsidRPr="00375DC0">
        <w:rPr>
          <w:rFonts w:ascii="Verdana" w:hAnsi="Verdana"/>
          <w:sz w:val="20"/>
        </w:rPr>
        <w:t>Hence</w:t>
      </w:r>
      <w:r w:rsidR="000F273D">
        <w:rPr>
          <w:rFonts w:ascii="Verdana" w:hAnsi="Verdana"/>
          <w:sz w:val="20"/>
        </w:rPr>
        <w:t>,</w:t>
      </w:r>
      <w:r w:rsidR="002E290D" w:rsidRPr="00375DC0">
        <w:rPr>
          <w:rFonts w:ascii="Verdana" w:hAnsi="Verdana"/>
          <w:sz w:val="20"/>
        </w:rPr>
        <w:t xml:space="preserve"> </w:t>
      </w:r>
      <w:r w:rsidR="008C65D4" w:rsidRPr="00375DC0">
        <w:rPr>
          <w:rFonts w:ascii="Verdana" w:hAnsi="Verdana"/>
          <w:sz w:val="20"/>
        </w:rPr>
        <w:t xml:space="preserve">in </w:t>
      </w:r>
      <w:r w:rsidR="002E290D" w:rsidRPr="00375DC0">
        <w:rPr>
          <w:rFonts w:ascii="Verdana" w:hAnsi="Verdana"/>
          <w:sz w:val="20"/>
        </w:rPr>
        <w:t xml:space="preserve">these circumstances </w:t>
      </w:r>
      <w:r w:rsidRPr="00375DC0">
        <w:rPr>
          <w:rFonts w:ascii="Verdana" w:hAnsi="Verdana"/>
          <w:sz w:val="20"/>
        </w:rPr>
        <w:t xml:space="preserve">Target </w:t>
      </w:r>
      <w:r w:rsidR="002E290D" w:rsidRPr="00375DC0">
        <w:rPr>
          <w:rFonts w:ascii="Verdana" w:hAnsi="Verdana"/>
          <w:sz w:val="20"/>
        </w:rPr>
        <w:t xml:space="preserve">Ltd controls </w:t>
      </w:r>
      <w:r w:rsidRPr="00375DC0">
        <w:rPr>
          <w:rFonts w:ascii="Verdana" w:hAnsi="Verdana"/>
          <w:sz w:val="20"/>
        </w:rPr>
        <w:t>BIJ</w:t>
      </w:r>
      <w:r w:rsidR="002E290D" w:rsidRPr="00375DC0">
        <w:rPr>
          <w:rFonts w:ascii="Verdana" w:hAnsi="Verdana"/>
          <w:sz w:val="20"/>
        </w:rPr>
        <w:t xml:space="preserve"> Ltd and therefore it should consolidate the financial statements of </w:t>
      </w:r>
      <w:r w:rsidRPr="00375DC0">
        <w:rPr>
          <w:rFonts w:ascii="Verdana" w:hAnsi="Verdana"/>
          <w:sz w:val="20"/>
        </w:rPr>
        <w:t>BIJ</w:t>
      </w:r>
      <w:r w:rsidR="002E290D" w:rsidRPr="00375DC0">
        <w:rPr>
          <w:rFonts w:ascii="Verdana" w:hAnsi="Verdana"/>
          <w:sz w:val="20"/>
        </w:rPr>
        <w:t xml:space="preserve"> Pty Ltd</w:t>
      </w:r>
      <w:r w:rsidR="00A42F50">
        <w:rPr>
          <w:rFonts w:ascii="Verdana" w:hAnsi="Verdana"/>
          <w:sz w:val="20"/>
        </w:rPr>
        <w:t xml:space="preserve">. </w:t>
      </w:r>
      <w:r w:rsidR="008C65D4" w:rsidRPr="00375DC0">
        <w:rPr>
          <w:rFonts w:ascii="Verdana" w:hAnsi="Verdana"/>
          <w:sz w:val="20"/>
        </w:rPr>
        <w:t>It does not matter that Target Ltd is a passive investor given the other facts (AASB 10.12).</w:t>
      </w:r>
    </w:p>
    <w:p w:rsidR="002E290D" w:rsidRPr="00375DC0" w:rsidRDefault="002E290D" w:rsidP="000D0F44">
      <w:pPr>
        <w:ind w:left="-360" w:hanging="357"/>
        <w:jc w:val="left"/>
        <w:rPr>
          <w:rFonts w:ascii="Verdana" w:hAnsi="Verdana"/>
          <w:b/>
          <w:sz w:val="20"/>
        </w:rPr>
      </w:pPr>
    </w:p>
    <w:p w:rsidR="002E290D" w:rsidRPr="00375DC0" w:rsidRDefault="002E290D" w:rsidP="000D0F44">
      <w:pPr>
        <w:numPr>
          <w:ilvl w:val="0"/>
          <w:numId w:val="60"/>
        </w:numPr>
        <w:ind w:hanging="357"/>
        <w:jc w:val="left"/>
        <w:rPr>
          <w:rFonts w:ascii="Verdana" w:hAnsi="Verdana"/>
          <w:sz w:val="20"/>
        </w:rPr>
      </w:pPr>
      <w:r w:rsidRPr="00375DC0">
        <w:rPr>
          <w:rFonts w:ascii="Verdana" w:hAnsi="Verdana"/>
          <w:sz w:val="20"/>
        </w:rPr>
        <w:t xml:space="preserve">The independent directors of </w:t>
      </w:r>
      <w:r w:rsidR="00C64988" w:rsidRPr="00375DC0">
        <w:rPr>
          <w:rFonts w:ascii="Verdana" w:hAnsi="Verdana"/>
          <w:sz w:val="20"/>
        </w:rPr>
        <w:t>HTE</w:t>
      </w:r>
      <w:r w:rsidRPr="00375DC0">
        <w:rPr>
          <w:rFonts w:ascii="Verdana" w:hAnsi="Verdana"/>
          <w:sz w:val="20"/>
        </w:rPr>
        <w:t xml:space="preserve"> Ltd have a fiduciary duty to all the shareholders of </w:t>
      </w:r>
      <w:r w:rsidR="00C64988" w:rsidRPr="00375DC0">
        <w:rPr>
          <w:rFonts w:ascii="Verdana" w:hAnsi="Verdana"/>
          <w:sz w:val="20"/>
        </w:rPr>
        <w:t>HTE</w:t>
      </w:r>
      <w:r w:rsidRPr="00375DC0">
        <w:rPr>
          <w:rFonts w:ascii="Verdana" w:hAnsi="Verdana"/>
          <w:sz w:val="20"/>
        </w:rPr>
        <w:t xml:space="preserve"> Ltd equally (which, of course, does include </w:t>
      </w:r>
      <w:r w:rsidR="00C64988" w:rsidRPr="00375DC0">
        <w:rPr>
          <w:rFonts w:ascii="Verdana" w:hAnsi="Verdana"/>
          <w:sz w:val="20"/>
        </w:rPr>
        <w:t xml:space="preserve">Target </w:t>
      </w:r>
      <w:r w:rsidRPr="00375DC0">
        <w:rPr>
          <w:rFonts w:ascii="Verdana" w:hAnsi="Verdana"/>
          <w:sz w:val="20"/>
        </w:rPr>
        <w:t xml:space="preserve">Ltd as a shareholder). As such, </w:t>
      </w:r>
      <w:r w:rsidR="00C64988" w:rsidRPr="00375DC0">
        <w:rPr>
          <w:rFonts w:ascii="Verdana" w:hAnsi="Verdana"/>
          <w:sz w:val="20"/>
        </w:rPr>
        <w:t xml:space="preserve">Target </w:t>
      </w:r>
      <w:r w:rsidRPr="00375DC0">
        <w:rPr>
          <w:rFonts w:ascii="Verdana" w:hAnsi="Verdana"/>
          <w:sz w:val="20"/>
        </w:rPr>
        <w:t xml:space="preserve">Ltd has the power only to control the casting of the votes of the </w:t>
      </w:r>
      <w:r w:rsidR="00C64988" w:rsidRPr="00375DC0">
        <w:rPr>
          <w:rFonts w:ascii="Verdana" w:hAnsi="Verdana"/>
          <w:sz w:val="20"/>
        </w:rPr>
        <w:t xml:space="preserve">four </w:t>
      </w:r>
      <w:r w:rsidRPr="00375DC0">
        <w:rPr>
          <w:rFonts w:ascii="Verdana" w:hAnsi="Verdana"/>
          <w:sz w:val="20"/>
        </w:rPr>
        <w:t xml:space="preserve">executive directors it has appointed to </w:t>
      </w:r>
      <w:r w:rsidR="00C64988" w:rsidRPr="00375DC0">
        <w:rPr>
          <w:rFonts w:ascii="Verdana" w:hAnsi="Verdana"/>
          <w:sz w:val="20"/>
        </w:rPr>
        <w:t>HTE</w:t>
      </w:r>
      <w:r w:rsidRPr="00375DC0">
        <w:rPr>
          <w:rFonts w:ascii="Verdana" w:hAnsi="Verdana"/>
          <w:sz w:val="20"/>
        </w:rPr>
        <w:t xml:space="preserve"> Ltd through its </w:t>
      </w:r>
      <w:r w:rsidR="00C64988" w:rsidRPr="00375DC0">
        <w:rPr>
          <w:rFonts w:ascii="Verdana" w:hAnsi="Verdana"/>
          <w:sz w:val="20"/>
        </w:rPr>
        <w:t xml:space="preserve">40% </w:t>
      </w:r>
      <w:r w:rsidRPr="00375DC0">
        <w:rPr>
          <w:rFonts w:ascii="Verdana" w:hAnsi="Verdana"/>
          <w:sz w:val="20"/>
        </w:rPr>
        <w:t>shareholding.</w:t>
      </w:r>
    </w:p>
    <w:p w:rsidR="002E290D" w:rsidRPr="00375DC0" w:rsidRDefault="002E290D" w:rsidP="000D0F44">
      <w:pPr>
        <w:ind w:left="357" w:hanging="357"/>
        <w:jc w:val="left"/>
        <w:rPr>
          <w:rFonts w:ascii="Verdana" w:hAnsi="Verdana"/>
          <w:sz w:val="20"/>
        </w:rPr>
      </w:pPr>
    </w:p>
    <w:p w:rsidR="002E290D" w:rsidRPr="00375DC0" w:rsidRDefault="000D0F44" w:rsidP="000D0F44">
      <w:pPr>
        <w:ind w:left="357" w:hanging="357"/>
        <w:jc w:val="left"/>
        <w:rPr>
          <w:rFonts w:ascii="Verdana" w:hAnsi="Verdana"/>
          <w:sz w:val="20"/>
        </w:rPr>
      </w:pPr>
      <w:r>
        <w:rPr>
          <w:rFonts w:ascii="Verdana" w:hAnsi="Verdana"/>
          <w:sz w:val="20"/>
        </w:rPr>
        <w:tab/>
      </w:r>
      <w:r w:rsidR="002E290D" w:rsidRPr="00375DC0">
        <w:rPr>
          <w:rFonts w:ascii="Verdana" w:hAnsi="Verdana"/>
          <w:sz w:val="20"/>
        </w:rPr>
        <w:t xml:space="preserve">Prima facie, </w:t>
      </w:r>
      <w:r w:rsidR="00C64988" w:rsidRPr="00375DC0">
        <w:rPr>
          <w:rFonts w:ascii="Verdana" w:hAnsi="Verdana"/>
          <w:sz w:val="20"/>
        </w:rPr>
        <w:t xml:space="preserve">Target </w:t>
      </w:r>
      <w:r w:rsidR="002E290D" w:rsidRPr="00375DC0">
        <w:rPr>
          <w:rFonts w:ascii="Verdana" w:hAnsi="Verdana"/>
          <w:sz w:val="20"/>
        </w:rPr>
        <w:t xml:space="preserve">Ltd’s </w:t>
      </w:r>
      <w:r w:rsidR="00C64988" w:rsidRPr="00375DC0">
        <w:rPr>
          <w:rFonts w:ascii="Verdana" w:hAnsi="Verdana"/>
          <w:sz w:val="20"/>
        </w:rPr>
        <w:t>40</w:t>
      </w:r>
      <w:r w:rsidR="002E290D" w:rsidRPr="00375DC0">
        <w:rPr>
          <w:rFonts w:ascii="Verdana" w:hAnsi="Verdana"/>
          <w:sz w:val="20"/>
        </w:rPr>
        <w:t xml:space="preserve">% shareholding does not give it the power to dominate the composition of the board of directors and </w:t>
      </w:r>
      <w:r w:rsidR="00C64988" w:rsidRPr="00375DC0">
        <w:rPr>
          <w:rFonts w:ascii="Verdana" w:hAnsi="Verdana"/>
          <w:sz w:val="20"/>
        </w:rPr>
        <w:t xml:space="preserve">Target </w:t>
      </w:r>
      <w:r w:rsidR="002E290D" w:rsidRPr="00375DC0">
        <w:rPr>
          <w:rFonts w:ascii="Verdana" w:hAnsi="Verdana"/>
          <w:sz w:val="20"/>
        </w:rPr>
        <w:t>Ltd does not have the power to control the casting of a majority of director votes at a board meeting.</w:t>
      </w:r>
      <w:r w:rsidR="00AA49FB" w:rsidRPr="00375DC0">
        <w:rPr>
          <w:rFonts w:ascii="Verdana" w:hAnsi="Verdana"/>
          <w:sz w:val="20"/>
        </w:rPr>
        <w:t xml:space="preserve"> </w:t>
      </w:r>
      <w:r w:rsidR="002E290D" w:rsidRPr="00375DC0">
        <w:rPr>
          <w:rFonts w:ascii="Verdana" w:hAnsi="Verdana"/>
          <w:sz w:val="20"/>
        </w:rPr>
        <w:t xml:space="preserve">Furthermore, a shareholding of </w:t>
      </w:r>
      <w:r w:rsidR="00C64988" w:rsidRPr="00375DC0">
        <w:rPr>
          <w:rFonts w:ascii="Verdana" w:hAnsi="Verdana"/>
          <w:sz w:val="20"/>
        </w:rPr>
        <w:t>40</w:t>
      </w:r>
      <w:r w:rsidR="002E290D" w:rsidRPr="00375DC0">
        <w:rPr>
          <w:rFonts w:ascii="Verdana" w:hAnsi="Verdana"/>
          <w:sz w:val="20"/>
        </w:rPr>
        <w:t xml:space="preserve">% does not, of itself, give </w:t>
      </w:r>
      <w:r w:rsidR="00C64988" w:rsidRPr="00375DC0">
        <w:rPr>
          <w:rFonts w:ascii="Verdana" w:hAnsi="Verdana"/>
          <w:sz w:val="20"/>
        </w:rPr>
        <w:t xml:space="preserve">Target </w:t>
      </w:r>
      <w:r w:rsidR="002E290D" w:rsidRPr="00375DC0">
        <w:rPr>
          <w:rFonts w:ascii="Verdana" w:hAnsi="Verdana"/>
          <w:sz w:val="20"/>
        </w:rPr>
        <w:t xml:space="preserve">Ltd the power to control the casting of a majority of votes at a general meeting of shareholders and under these circumstances </w:t>
      </w:r>
      <w:r w:rsidR="00C64988" w:rsidRPr="00375DC0">
        <w:rPr>
          <w:rFonts w:ascii="Verdana" w:hAnsi="Verdana"/>
          <w:sz w:val="20"/>
        </w:rPr>
        <w:t xml:space="preserve">Target </w:t>
      </w:r>
      <w:r w:rsidR="002E290D" w:rsidRPr="00375DC0">
        <w:rPr>
          <w:rFonts w:ascii="Verdana" w:hAnsi="Verdana"/>
          <w:sz w:val="20"/>
        </w:rPr>
        <w:t>Ltd would not be required to prepare consolidated financial statements</w:t>
      </w:r>
      <w:r w:rsidR="008B2D93" w:rsidRPr="00375DC0">
        <w:rPr>
          <w:rFonts w:ascii="Verdana" w:hAnsi="Verdana"/>
          <w:sz w:val="20"/>
        </w:rPr>
        <w:t xml:space="preserve"> as a business combination has not occurred</w:t>
      </w:r>
      <w:r w:rsidR="00A42F50">
        <w:rPr>
          <w:rFonts w:ascii="Verdana" w:hAnsi="Verdana"/>
          <w:sz w:val="20"/>
        </w:rPr>
        <w:t xml:space="preserve">. </w:t>
      </w:r>
      <w:r w:rsidR="008C65D4" w:rsidRPr="00375DC0">
        <w:rPr>
          <w:rFonts w:ascii="Verdana" w:hAnsi="Verdana"/>
          <w:sz w:val="20"/>
        </w:rPr>
        <w:t xml:space="preserve"> AASB 10.B38 gives examples of situations in which </w:t>
      </w:r>
      <w:r w:rsidR="008C65D4" w:rsidRPr="00375DC0">
        <w:rPr>
          <w:rFonts w:ascii="Verdana" w:hAnsi="Verdana"/>
          <w:i/>
          <w:sz w:val="20"/>
        </w:rPr>
        <w:t>de facto</w:t>
      </w:r>
      <w:r w:rsidR="008C65D4" w:rsidRPr="00375DC0">
        <w:rPr>
          <w:rFonts w:ascii="Verdana" w:hAnsi="Verdana"/>
          <w:sz w:val="20"/>
        </w:rPr>
        <w:t xml:space="preserve"> power might exist where less than a majority of voting power is held but these situations are not evident in the facts provided.</w:t>
      </w:r>
    </w:p>
    <w:p w:rsidR="002E290D" w:rsidRPr="00375DC0" w:rsidRDefault="002E290D" w:rsidP="000D0F44">
      <w:pPr>
        <w:ind w:left="357" w:hanging="357"/>
        <w:jc w:val="left"/>
        <w:rPr>
          <w:rFonts w:ascii="Verdana" w:hAnsi="Verdana"/>
          <w:sz w:val="20"/>
        </w:rPr>
      </w:pPr>
    </w:p>
    <w:p w:rsidR="002E290D" w:rsidRPr="00375DC0" w:rsidRDefault="000D0F44" w:rsidP="000D0F44">
      <w:pPr>
        <w:spacing w:before="120"/>
        <w:ind w:left="357" w:hanging="357"/>
        <w:jc w:val="left"/>
        <w:rPr>
          <w:rFonts w:ascii="Verdana" w:hAnsi="Verdana"/>
          <w:b/>
          <w:sz w:val="20"/>
        </w:rPr>
      </w:pPr>
      <w:r>
        <w:rPr>
          <w:rFonts w:ascii="Verdana" w:hAnsi="Verdana"/>
          <w:sz w:val="20"/>
        </w:rPr>
        <w:tab/>
      </w:r>
      <w:r w:rsidR="002E290D" w:rsidRPr="00375DC0">
        <w:rPr>
          <w:rFonts w:ascii="Verdana" w:hAnsi="Verdana"/>
          <w:sz w:val="20"/>
        </w:rPr>
        <w:t>Alternatively</w:t>
      </w:r>
      <w:r w:rsidR="000F273D">
        <w:rPr>
          <w:rFonts w:ascii="Verdana" w:hAnsi="Verdana"/>
          <w:sz w:val="20"/>
        </w:rPr>
        <w:t>,</w:t>
      </w:r>
      <w:r w:rsidR="002E290D" w:rsidRPr="00375DC0">
        <w:rPr>
          <w:rFonts w:ascii="Verdana" w:hAnsi="Verdana"/>
          <w:sz w:val="20"/>
        </w:rPr>
        <w:t xml:space="preserve"> if the remaining </w:t>
      </w:r>
      <w:r w:rsidR="00C64988" w:rsidRPr="00375DC0">
        <w:rPr>
          <w:rFonts w:ascii="Verdana" w:hAnsi="Verdana"/>
          <w:sz w:val="20"/>
        </w:rPr>
        <w:t>70</w:t>
      </w:r>
      <w:r w:rsidR="002E290D" w:rsidRPr="00375DC0">
        <w:rPr>
          <w:rFonts w:ascii="Verdana" w:hAnsi="Verdana"/>
          <w:sz w:val="20"/>
        </w:rPr>
        <w:t xml:space="preserve">% of shareholders of </w:t>
      </w:r>
      <w:r w:rsidR="00C64988" w:rsidRPr="00375DC0">
        <w:rPr>
          <w:rFonts w:ascii="Verdana" w:hAnsi="Verdana"/>
          <w:sz w:val="20"/>
        </w:rPr>
        <w:t>HTE</w:t>
      </w:r>
      <w:r w:rsidR="002E290D" w:rsidRPr="00375DC0">
        <w:rPr>
          <w:rFonts w:ascii="Verdana" w:hAnsi="Verdana"/>
          <w:sz w:val="20"/>
        </w:rPr>
        <w:t xml:space="preserve"> Ltd regularly fail to exercise their voting rights at general meetings</w:t>
      </w:r>
      <w:r w:rsidR="000F273D">
        <w:rPr>
          <w:rFonts w:ascii="Verdana" w:hAnsi="Verdana"/>
          <w:sz w:val="20"/>
        </w:rPr>
        <w:t>,</w:t>
      </w:r>
      <w:r w:rsidR="002E290D" w:rsidRPr="00375DC0">
        <w:rPr>
          <w:rFonts w:ascii="Verdana" w:hAnsi="Verdana"/>
          <w:sz w:val="20"/>
        </w:rPr>
        <w:t xml:space="preserve"> it could be argued that </w:t>
      </w:r>
      <w:r w:rsidR="00C64988" w:rsidRPr="00375DC0">
        <w:rPr>
          <w:rFonts w:ascii="Verdana" w:hAnsi="Verdana"/>
          <w:sz w:val="20"/>
        </w:rPr>
        <w:t xml:space="preserve">Target </w:t>
      </w:r>
      <w:r w:rsidR="002E290D" w:rsidRPr="00375DC0">
        <w:rPr>
          <w:rFonts w:ascii="Verdana" w:hAnsi="Verdana"/>
          <w:sz w:val="20"/>
        </w:rPr>
        <w:t xml:space="preserve">Ltd does control </w:t>
      </w:r>
      <w:r w:rsidR="00C64988" w:rsidRPr="00375DC0">
        <w:rPr>
          <w:rFonts w:ascii="Verdana" w:hAnsi="Verdana"/>
          <w:sz w:val="20"/>
        </w:rPr>
        <w:t>HTE</w:t>
      </w:r>
      <w:r w:rsidR="002E290D" w:rsidRPr="00375DC0">
        <w:rPr>
          <w:rFonts w:ascii="Verdana" w:hAnsi="Verdana"/>
          <w:sz w:val="20"/>
        </w:rPr>
        <w:t xml:space="preserve"> Ltd.</w:t>
      </w:r>
      <w:r w:rsidR="00AA49FB" w:rsidRPr="00375DC0">
        <w:rPr>
          <w:rFonts w:ascii="Verdana" w:hAnsi="Verdana"/>
          <w:sz w:val="20"/>
        </w:rPr>
        <w:t xml:space="preserve"> </w:t>
      </w:r>
      <w:r w:rsidR="002E290D" w:rsidRPr="00375DC0">
        <w:rPr>
          <w:rFonts w:ascii="Verdana" w:hAnsi="Verdana"/>
          <w:sz w:val="20"/>
        </w:rPr>
        <w:t xml:space="preserve">If, for example, only 50% of the shareholders of </w:t>
      </w:r>
      <w:r w:rsidR="00C64988" w:rsidRPr="00375DC0">
        <w:rPr>
          <w:rFonts w:ascii="Verdana" w:hAnsi="Verdana"/>
          <w:sz w:val="20"/>
        </w:rPr>
        <w:t>HTE</w:t>
      </w:r>
      <w:r w:rsidR="002E290D" w:rsidRPr="00375DC0">
        <w:rPr>
          <w:rFonts w:ascii="Verdana" w:hAnsi="Verdana"/>
          <w:sz w:val="20"/>
        </w:rPr>
        <w:t xml:space="preserve"> Ltd are actively involved in voting at meetings, then Arrows</w:t>
      </w:r>
      <w:r w:rsidR="000F273D">
        <w:rPr>
          <w:rFonts w:ascii="Verdana" w:hAnsi="Verdana"/>
          <w:sz w:val="20"/>
        </w:rPr>
        <w:t>’</w:t>
      </w:r>
      <w:r w:rsidR="002E290D" w:rsidRPr="00375DC0">
        <w:rPr>
          <w:rFonts w:ascii="Verdana" w:hAnsi="Verdana"/>
          <w:sz w:val="20"/>
        </w:rPr>
        <w:t xml:space="preserve"> </w:t>
      </w:r>
      <w:r w:rsidR="00C64988" w:rsidRPr="00375DC0">
        <w:rPr>
          <w:rFonts w:ascii="Verdana" w:hAnsi="Verdana"/>
          <w:sz w:val="20"/>
        </w:rPr>
        <w:t>40</w:t>
      </w:r>
      <w:r w:rsidR="002E290D" w:rsidRPr="00375DC0">
        <w:rPr>
          <w:rFonts w:ascii="Verdana" w:hAnsi="Verdana"/>
          <w:sz w:val="20"/>
        </w:rPr>
        <w:t xml:space="preserve">% </w:t>
      </w:r>
      <w:r w:rsidR="002E290D" w:rsidRPr="00375DC0">
        <w:rPr>
          <w:rFonts w:ascii="Verdana" w:hAnsi="Verdana"/>
          <w:sz w:val="20"/>
        </w:rPr>
        <w:lastRenderedPageBreak/>
        <w:t>shareholding would effectively constitute 5</w:t>
      </w:r>
      <w:r w:rsidR="00AD77F1" w:rsidRPr="00375DC0">
        <w:rPr>
          <w:rFonts w:ascii="Verdana" w:hAnsi="Verdana"/>
          <w:sz w:val="20"/>
        </w:rPr>
        <w:t>7.15</w:t>
      </w:r>
      <w:r w:rsidR="002E290D" w:rsidRPr="00375DC0">
        <w:rPr>
          <w:rFonts w:ascii="Verdana" w:hAnsi="Verdana"/>
          <w:sz w:val="20"/>
        </w:rPr>
        <w:t>% (</w:t>
      </w:r>
      <w:r w:rsidR="00AD77F1" w:rsidRPr="00375DC0">
        <w:rPr>
          <w:rFonts w:ascii="Verdana" w:hAnsi="Verdana"/>
          <w:sz w:val="20"/>
        </w:rPr>
        <w:t>40/70</w:t>
      </w:r>
      <w:r w:rsidR="002E290D" w:rsidRPr="00375DC0">
        <w:rPr>
          <w:rFonts w:ascii="Verdana" w:hAnsi="Verdana"/>
          <w:sz w:val="20"/>
        </w:rPr>
        <w:t xml:space="preserve">) of votes that are normally exercised at a shareholder meeting. The fact that </w:t>
      </w:r>
      <w:r w:rsidR="00AD77F1" w:rsidRPr="00375DC0">
        <w:rPr>
          <w:rFonts w:ascii="Verdana" w:hAnsi="Verdana"/>
          <w:sz w:val="20"/>
        </w:rPr>
        <w:t xml:space="preserve">Target </w:t>
      </w:r>
      <w:r w:rsidR="002E290D" w:rsidRPr="00375DC0">
        <w:rPr>
          <w:rFonts w:ascii="Verdana" w:hAnsi="Verdana"/>
          <w:sz w:val="20"/>
        </w:rPr>
        <w:t>Ltd has nominated ‘</w:t>
      </w:r>
      <w:r w:rsidR="00AD77F1" w:rsidRPr="00375DC0">
        <w:rPr>
          <w:rFonts w:ascii="Verdana" w:hAnsi="Verdana"/>
          <w:sz w:val="20"/>
        </w:rPr>
        <w:t xml:space="preserve">four </w:t>
      </w:r>
      <w:r w:rsidR="002E290D" w:rsidRPr="00375DC0">
        <w:rPr>
          <w:rFonts w:ascii="Verdana" w:hAnsi="Verdana"/>
          <w:sz w:val="20"/>
        </w:rPr>
        <w:t xml:space="preserve">executive directors’ to </w:t>
      </w:r>
      <w:r w:rsidR="00AD77F1" w:rsidRPr="00375DC0">
        <w:rPr>
          <w:rFonts w:ascii="Verdana" w:hAnsi="Verdana"/>
          <w:sz w:val="20"/>
        </w:rPr>
        <w:t>HTE</w:t>
      </w:r>
      <w:r w:rsidR="002E290D" w:rsidRPr="00375DC0">
        <w:rPr>
          <w:rFonts w:ascii="Verdana" w:hAnsi="Verdana"/>
          <w:sz w:val="20"/>
        </w:rPr>
        <w:t xml:space="preserve"> Ltd (i.e., the directors involved in the day-to-day oper</w:t>
      </w:r>
      <w:r w:rsidR="00AD77F1" w:rsidRPr="00375DC0">
        <w:rPr>
          <w:rFonts w:ascii="Verdana" w:hAnsi="Verdana"/>
          <w:sz w:val="20"/>
        </w:rPr>
        <w:t>ations) also suggests that its 40</w:t>
      </w:r>
      <w:r w:rsidR="002E290D" w:rsidRPr="00375DC0">
        <w:rPr>
          <w:rFonts w:ascii="Verdana" w:hAnsi="Verdana"/>
          <w:sz w:val="20"/>
        </w:rPr>
        <w:t xml:space="preserve">% shareholding is sufficient for control. If this alternative view is accepted then </w:t>
      </w:r>
      <w:r w:rsidR="00AD77F1" w:rsidRPr="00375DC0">
        <w:rPr>
          <w:rFonts w:ascii="Verdana" w:hAnsi="Verdana"/>
          <w:sz w:val="20"/>
        </w:rPr>
        <w:t xml:space="preserve">Target </w:t>
      </w:r>
      <w:r w:rsidR="002E290D" w:rsidRPr="00375DC0">
        <w:rPr>
          <w:rFonts w:ascii="Verdana" w:hAnsi="Verdana"/>
          <w:sz w:val="20"/>
        </w:rPr>
        <w:t>Ltd would be required to consolidate.</w:t>
      </w:r>
    </w:p>
    <w:p w:rsidR="002E290D" w:rsidRPr="00375DC0" w:rsidRDefault="002E290D" w:rsidP="004F0AA8">
      <w:pPr>
        <w:spacing w:before="120"/>
        <w:ind w:left="357"/>
        <w:jc w:val="left"/>
        <w:rPr>
          <w:rFonts w:ascii="Verdana" w:hAnsi="Verdana"/>
          <w:b/>
          <w:sz w:val="20"/>
        </w:rPr>
      </w:pPr>
    </w:p>
    <w:p w:rsidR="003C60A1" w:rsidRPr="00375DC0" w:rsidRDefault="003C60A1" w:rsidP="004F0AA8">
      <w:pPr>
        <w:ind w:left="357" w:firstLine="0"/>
        <w:jc w:val="left"/>
        <w:rPr>
          <w:rFonts w:ascii="Verdana" w:hAnsi="Verdana"/>
          <w:b/>
          <w:sz w:val="20"/>
        </w:rPr>
      </w:pPr>
    </w:p>
    <w:p w:rsidR="003C60A1" w:rsidRPr="00A21D35" w:rsidRDefault="00AC5B89" w:rsidP="0057182A">
      <w:pPr>
        <w:ind w:firstLine="0"/>
        <w:jc w:val="left"/>
        <w:rPr>
          <w:rFonts w:ascii="Verdana" w:hAnsi="Verdana"/>
          <w:b/>
          <w:i/>
          <w:sz w:val="20"/>
        </w:rPr>
      </w:pPr>
      <w:r w:rsidRPr="004F0AA8">
        <w:rPr>
          <w:rFonts w:ascii="Verdana" w:hAnsi="Verdana"/>
          <w:b/>
          <w:i/>
          <w:sz w:val="20"/>
        </w:rPr>
        <w:t>Q</w:t>
      </w:r>
      <w:r w:rsidR="003C60A1" w:rsidRPr="004F0AA8">
        <w:rPr>
          <w:rFonts w:ascii="Verdana" w:hAnsi="Verdana"/>
          <w:b/>
          <w:i/>
          <w:sz w:val="20"/>
        </w:rPr>
        <w:t>1.1</w:t>
      </w:r>
      <w:r w:rsidR="00A21D35">
        <w:rPr>
          <w:rFonts w:ascii="Verdana" w:hAnsi="Verdana"/>
          <w:b/>
          <w:i/>
          <w:sz w:val="20"/>
        </w:rPr>
        <w:t>3</w:t>
      </w:r>
      <w:r w:rsidR="003C60A1" w:rsidRPr="004F0AA8">
        <w:rPr>
          <w:rFonts w:ascii="Verdana" w:hAnsi="Verdana"/>
          <w:b/>
          <w:i/>
          <w:sz w:val="20"/>
        </w:rPr>
        <w:t xml:space="preserve"> Determining the power to control </w:t>
      </w:r>
      <w:r w:rsidR="003C60A1" w:rsidRPr="00A21D35">
        <w:rPr>
          <w:rFonts w:ascii="Verdana" w:hAnsi="Verdana"/>
          <w:b/>
          <w:i/>
          <w:sz w:val="20"/>
        </w:rPr>
        <w:t>(Section 1.</w:t>
      </w:r>
      <w:r w:rsidR="006010D2" w:rsidRPr="00A21D35">
        <w:rPr>
          <w:rFonts w:ascii="Verdana" w:hAnsi="Verdana"/>
          <w:b/>
          <w:i/>
          <w:sz w:val="20"/>
        </w:rPr>
        <w:t>7</w:t>
      </w:r>
      <w:r w:rsidR="003C60A1" w:rsidRPr="00A21D35">
        <w:rPr>
          <w:rFonts w:ascii="Verdana" w:hAnsi="Verdana"/>
          <w:b/>
          <w:i/>
          <w:sz w:val="20"/>
        </w:rPr>
        <w:t>)</w:t>
      </w:r>
    </w:p>
    <w:p w:rsidR="00AF4D92" w:rsidRPr="00375DC0" w:rsidRDefault="00AF4D92" w:rsidP="0057182A">
      <w:pPr>
        <w:ind w:firstLine="0"/>
        <w:jc w:val="left"/>
        <w:rPr>
          <w:rFonts w:ascii="Verdana" w:hAnsi="Verdana"/>
          <w:b/>
          <w:sz w:val="20"/>
        </w:rPr>
      </w:pPr>
    </w:p>
    <w:p w:rsidR="000F693A" w:rsidRPr="00375DC0" w:rsidRDefault="000F693A" w:rsidP="0057182A">
      <w:pPr>
        <w:ind w:firstLine="0"/>
        <w:jc w:val="left"/>
        <w:rPr>
          <w:rFonts w:ascii="Verdana" w:hAnsi="Verdana"/>
          <w:b/>
          <w:sz w:val="20"/>
        </w:rPr>
      </w:pPr>
      <w:r w:rsidRPr="00375DC0">
        <w:rPr>
          <w:rFonts w:ascii="Verdana" w:hAnsi="Verdana"/>
          <w:b/>
          <w:sz w:val="20"/>
        </w:rPr>
        <w:t xml:space="preserve">Part A </w:t>
      </w:r>
    </w:p>
    <w:p w:rsidR="000F693A" w:rsidRPr="00375DC0" w:rsidRDefault="000F693A" w:rsidP="0057182A">
      <w:pPr>
        <w:ind w:firstLine="0"/>
        <w:jc w:val="left"/>
        <w:rPr>
          <w:rFonts w:ascii="Verdana" w:hAnsi="Verdana"/>
          <w:sz w:val="20"/>
        </w:rPr>
      </w:pPr>
    </w:p>
    <w:p w:rsidR="006010D2" w:rsidRDefault="00A41DFE" w:rsidP="0057182A">
      <w:pPr>
        <w:ind w:firstLine="0"/>
        <w:jc w:val="left"/>
        <w:rPr>
          <w:rFonts w:ascii="Verdana" w:hAnsi="Verdana"/>
          <w:sz w:val="20"/>
        </w:rPr>
      </w:pPr>
      <w:r w:rsidRPr="00375DC0">
        <w:rPr>
          <w:rFonts w:ascii="Verdana" w:hAnsi="Verdana"/>
          <w:sz w:val="20"/>
        </w:rPr>
        <w:t>The question asks whether A Ltd is a subsidiary of B Ltd</w:t>
      </w:r>
      <w:r w:rsidR="00A42F50">
        <w:rPr>
          <w:rFonts w:ascii="Verdana" w:hAnsi="Verdana"/>
          <w:sz w:val="20"/>
        </w:rPr>
        <w:t xml:space="preserve">. </w:t>
      </w:r>
      <w:r w:rsidRPr="00375DC0">
        <w:rPr>
          <w:rFonts w:ascii="Verdana" w:hAnsi="Verdana"/>
          <w:sz w:val="20"/>
        </w:rPr>
        <w:t>To be a subsidiary, A Ltd must be controlled by B Ltd as per AASB 10</w:t>
      </w:r>
      <w:r w:rsidR="00A42F50">
        <w:rPr>
          <w:rFonts w:ascii="Verdana" w:hAnsi="Verdana"/>
          <w:sz w:val="20"/>
        </w:rPr>
        <w:t xml:space="preserve">. </w:t>
      </w:r>
      <w:r w:rsidR="006010D2" w:rsidRPr="00375DC0">
        <w:rPr>
          <w:rFonts w:ascii="Verdana" w:hAnsi="Verdana"/>
          <w:sz w:val="20"/>
        </w:rPr>
        <w:t>Appendix A and paragraph 6 of AASB 10 define control as follows:</w:t>
      </w:r>
    </w:p>
    <w:p w:rsidR="00AC5B89" w:rsidRPr="00375DC0" w:rsidRDefault="00AC5B89" w:rsidP="0057182A">
      <w:pPr>
        <w:ind w:firstLine="0"/>
        <w:jc w:val="left"/>
        <w:rPr>
          <w:rFonts w:ascii="Verdana" w:hAnsi="Verdana"/>
          <w:sz w:val="20"/>
        </w:rPr>
      </w:pPr>
    </w:p>
    <w:p w:rsidR="006010D2" w:rsidRPr="003425F4" w:rsidRDefault="006010D2" w:rsidP="0057182A">
      <w:pPr>
        <w:ind w:left="720" w:firstLine="0"/>
        <w:jc w:val="left"/>
        <w:rPr>
          <w:rFonts w:ascii="Verdana" w:hAnsi="Verdana"/>
          <w:i/>
          <w:sz w:val="20"/>
        </w:rPr>
      </w:pPr>
      <w:r w:rsidRPr="003425F4">
        <w:rPr>
          <w:rFonts w:ascii="Verdana" w:hAnsi="Verdana"/>
          <w:i/>
          <w:sz w:val="20"/>
        </w:rPr>
        <w:t>An investor controls an investee when it is exposed, or has rights, to variable returns from its involvement with the investee and has the ability to affect those returns through its power over the investee.</w:t>
      </w:r>
    </w:p>
    <w:p w:rsidR="006010D2" w:rsidRPr="003425F4" w:rsidRDefault="006010D2" w:rsidP="0057182A">
      <w:pPr>
        <w:ind w:firstLine="0"/>
        <w:jc w:val="left"/>
        <w:rPr>
          <w:rFonts w:ascii="Verdana" w:hAnsi="Verdana"/>
          <w:sz w:val="20"/>
        </w:rPr>
      </w:pPr>
    </w:p>
    <w:p w:rsidR="006010D2" w:rsidRPr="00375DC0" w:rsidRDefault="006010D2" w:rsidP="0057182A">
      <w:pPr>
        <w:ind w:firstLine="0"/>
        <w:jc w:val="left"/>
        <w:rPr>
          <w:rFonts w:ascii="Verdana" w:hAnsi="Verdana"/>
          <w:sz w:val="20"/>
        </w:rPr>
      </w:pPr>
      <w:r w:rsidRPr="003425F4">
        <w:rPr>
          <w:rFonts w:ascii="Verdana" w:hAnsi="Verdana"/>
          <w:sz w:val="20"/>
        </w:rPr>
        <w:t>AASB 10.7 indicates that there are three essential components to this definition of control; namely (1) the investor has power over the investee; (2) the investor has exposure or rights to variable returns from its involvement in the investee; and (3) the investor must be able to use the power it has over the investee to affect the amount of the investor’s returns</w:t>
      </w:r>
      <w:r w:rsidR="00A42F50" w:rsidRPr="003425F4">
        <w:rPr>
          <w:rFonts w:ascii="Verdana" w:hAnsi="Verdana"/>
          <w:sz w:val="20"/>
        </w:rPr>
        <w:t xml:space="preserve">. </w:t>
      </w:r>
      <w:r w:rsidRPr="003425F4">
        <w:rPr>
          <w:rFonts w:ascii="Verdana" w:hAnsi="Verdana"/>
          <w:sz w:val="20"/>
        </w:rPr>
        <w:t>It is most important to understand that in any given investor</w:t>
      </w:r>
      <w:r w:rsidR="000F273D" w:rsidRPr="003425F4">
        <w:rPr>
          <w:rFonts w:ascii="Verdana" w:hAnsi="Verdana"/>
          <w:sz w:val="20"/>
        </w:rPr>
        <w:t>–</w:t>
      </w:r>
      <w:r w:rsidRPr="003425F4">
        <w:rPr>
          <w:rFonts w:ascii="Verdana" w:hAnsi="Verdana"/>
          <w:sz w:val="20"/>
        </w:rPr>
        <w:t xml:space="preserve">investee relationship </w:t>
      </w:r>
      <w:r w:rsidRPr="003425F4">
        <w:rPr>
          <w:rFonts w:ascii="Verdana" w:hAnsi="Verdana"/>
          <w:i/>
          <w:sz w:val="20"/>
        </w:rPr>
        <w:t>all</w:t>
      </w:r>
      <w:r w:rsidRPr="003425F4">
        <w:rPr>
          <w:rFonts w:ascii="Verdana" w:hAnsi="Verdana"/>
          <w:sz w:val="20"/>
        </w:rPr>
        <w:t xml:space="preserve"> three of these components must be satisfied before ‘control’ can be confirmed and a parent</w:t>
      </w:r>
      <w:r w:rsidR="000F273D" w:rsidRPr="003425F4">
        <w:rPr>
          <w:rFonts w:ascii="Verdana" w:hAnsi="Verdana"/>
          <w:sz w:val="20"/>
        </w:rPr>
        <w:t>–</w:t>
      </w:r>
      <w:r w:rsidRPr="003425F4">
        <w:rPr>
          <w:rFonts w:ascii="Verdana" w:hAnsi="Verdana"/>
          <w:sz w:val="20"/>
        </w:rPr>
        <w:t>subsidiary relationship established.</w:t>
      </w:r>
    </w:p>
    <w:p w:rsidR="006010D2" w:rsidRPr="00375DC0" w:rsidRDefault="006010D2" w:rsidP="0057182A">
      <w:pPr>
        <w:ind w:firstLine="0"/>
        <w:jc w:val="left"/>
        <w:rPr>
          <w:rFonts w:ascii="Verdana" w:hAnsi="Verdana"/>
          <w:sz w:val="20"/>
        </w:rPr>
      </w:pPr>
    </w:p>
    <w:p w:rsidR="00A41DFE" w:rsidRPr="00375DC0" w:rsidRDefault="00A41DFE" w:rsidP="0057182A">
      <w:pPr>
        <w:ind w:firstLine="0"/>
        <w:jc w:val="left"/>
        <w:rPr>
          <w:rFonts w:ascii="Verdana" w:hAnsi="Verdana"/>
          <w:sz w:val="20"/>
        </w:rPr>
      </w:pPr>
      <w:r w:rsidRPr="00375DC0">
        <w:rPr>
          <w:rFonts w:ascii="Verdana" w:hAnsi="Verdana"/>
          <w:sz w:val="20"/>
        </w:rPr>
        <w:t>Does B Ltd have power over A Ltd?</w:t>
      </w:r>
    </w:p>
    <w:p w:rsidR="00A41DFE" w:rsidRPr="00375DC0" w:rsidRDefault="00A41DFE" w:rsidP="0057182A">
      <w:pPr>
        <w:ind w:firstLine="0"/>
        <w:jc w:val="left"/>
        <w:rPr>
          <w:rFonts w:ascii="Verdana" w:hAnsi="Verdana"/>
          <w:sz w:val="20"/>
        </w:rPr>
      </w:pPr>
      <w:r w:rsidRPr="00375DC0">
        <w:rPr>
          <w:rFonts w:ascii="Verdana" w:hAnsi="Verdana"/>
          <w:sz w:val="20"/>
        </w:rPr>
        <w:t>AASB 10.10 indicates that to have power</w:t>
      </w:r>
      <w:r w:rsidR="00587CC5">
        <w:rPr>
          <w:rFonts w:ascii="Verdana" w:hAnsi="Verdana"/>
          <w:sz w:val="20"/>
        </w:rPr>
        <w:t>,</w:t>
      </w:r>
      <w:r w:rsidRPr="00375DC0">
        <w:rPr>
          <w:rFonts w:ascii="Verdana" w:hAnsi="Verdana"/>
          <w:sz w:val="20"/>
        </w:rPr>
        <w:t xml:space="preserve"> B Ltd must have rights that give it the ability to direct the relevant activities of A Ltd</w:t>
      </w:r>
      <w:r w:rsidR="00A42F50">
        <w:rPr>
          <w:rFonts w:ascii="Verdana" w:hAnsi="Verdana"/>
          <w:sz w:val="20"/>
        </w:rPr>
        <w:t xml:space="preserve">. </w:t>
      </w:r>
      <w:r w:rsidRPr="00375DC0">
        <w:rPr>
          <w:rFonts w:ascii="Verdana" w:hAnsi="Verdana"/>
          <w:sz w:val="20"/>
        </w:rPr>
        <w:t>The facts of the question are largely silent on what are the relevant activities of A Ltd (although they may well include activities such as manufacturing and research and development)</w:t>
      </w:r>
      <w:r w:rsidR="00A42F50">
        <w:rPr>
          <w:rFonts w:ascii="Verdana" w:hAnsi="Verdana"/>
          <w:sz w:val="20"/>
        </w:rPr>
        <w:t xml:space="preserve">. </w:t>
      </w:r>
      <w:r w:rsidRPr="00375DC0">
        <w:rPr>
          <w:rFonts w:ascii="Verdana" w:hAnsi="Verdana"/>
          <w:sz w:val="20"/>
        </w:rPr>
        <w:t>B Ltd has rights that would give it input into the relevant activities of A Ltd</w:t>
      </w:r>
      <w:r w:rsidR="00587CC5">
        <w:rPr>
          <w:rFonts w:ascii="Verdana" w:hAnsi="Verdana"/>
          <w:sz w:val="20"/>
        </w:rPr>
        <w:t>—</w:t>
      </w:r>
      <w:r w:rsidRPr="00375DC0">
        <w:rPr>
          <w:rFonts w:ascii="Verdana" w:hAnsi="Verdana"/>
          <w:sz w:val="20"/>
        </w:rPr>
        <w:t>these rights come from its voting power (30%) and from its four members of A Ltd’s board of directors (e.g., AASB 10.11)</w:t>
      </w:r>
      <w:r w:rsidR="00A42F50">
        <w:rPr>
          <w:rFonts w:ascii="Verdana" w:hAnsi="Verdana"/>
          <w:sz w:val="20"/>
        </w:rPr>
        <w:t xml:space="preserve">. </w:t>
      </w:r>
      <w:r w:rsidRPr="00375DC0">
        <w:rPr>
          <w:rFonts w:ascii="Verdana" w:hAnsi="Verdana"/>
          <w:sz w:val="20"/>
        </w:rPr>
        <w:t>These rights must be current and substantive (see AASB 10.B22–B25) and there is nothing in the facts of the question to suggest that B Ltd’s rights are not substantive</w:t>
      </w:r>
      <w:r w:rsidR="00A42F50">
        <w:rPr>
          <w:rFonts w:ascii="Verdana" w:hAnsi="Verdana"/>
          <w:sz w:val="20"/>
        </w:rPr>
        <w:t xml:space="preserve">. </w:t>
      </w:r>
      <w:r w:rsidRPr="00375DC0">
        <w:rPr>
          <w:rFonts w:ascii="Verdana" w:hAnsi="Verdana"/>
          <w:sz w:val="20"/>
        </w:rPr>
        <w:t>However, the facts suggest that B Ltd’s power is insufficient to allow it to unilaterally direct the relevant activities of A Ltd</w:t>
      </w:r>
      <w:r w:rsidR="00A42F50">
        <w:rPr>
          <w:rFonts w:ascii="Verdana" w:hAnsi="Verdana"/>
          <w:sz w:val="20"/>
        </w:rPr>
        <w:t xml:space="preserve">. </w:t>
      </w:r>
      <w:r w:rsidRPr="00375DC0">
        <w:rPr>
          <w:rFonts w:ascii="Verdana" w:hAnsi="Verdana"/>
          <w:sz w:val="20"/>
        </w:rPr>
        <w:t>This is because D Ltd (through its own direct ownership interests and its indirect interest</w:t>
      </w:r>
      <w:r w:rsidR="005B5D35" w:rsidRPr="00375DC0">
        <w:rPr>
          <w:rFonts w:ascii="Verdana" w:hAnsi="Verdana"/>
          <w:sz w:val="20"/>
        </w:rPr>
        <w:t>s via its control of C Ltd) has voting rights of effectively 47% and effectively four directors on the board of A Ltd</w:t>
      </w:r>
      <w:r w:rsidR="00A42F50">
        <w:rPr>
          <w:rFonts w:ascii="Verdana" w:hAnsi="Verdana"/>
          <w:sz w:val="20"/>
        </w:rPr>
        <w:t xml:space="preserve">. </w:t>
      </w:r>
      <w:r w:rsidR="005B5D35" w:rsidRPr="00375DC0">
        <w:rPr>
          <w:rFonts w:ascii="Verdana" w:hAnsi="Verdana"/>
          <w:sz w:val="20"/>
        </w:rPr>
        <w:t>In the absence of other information, this would suggest that D Ltd can act as an effective counter-veiling power to that of B Ltd</w:t>
      </w:r>
      <w:r w:rsidR="00A42F50">
        <w:rPr>
          <w:rFonts w:ascii="Verdana" w:hAnsi="Verdana"/>
          <w:sz w:val="20"/>
        </w:rPr>
        <w:t xml:space="preserve">. </w:t>
      </w:r>
      <w:r w:rsidR="005B5D35" w:rsidRPr="00375DC0">
        <w:rPr>
          <w:rFonts w:ascii="Verdana" w:hAnsi="Verdana"/>
          <w:sz w:val="20"/>
        </w:rPr>
        <w:t>What is unknown is how do the other independent and unrelated shareholders in A Ltd normally vote?  If these independent shareholders have normally cast their votes in a way consistent with B Ltd, then this may be an indicator that B Ltd has power over A Ltd as this voting bloc would out-vote D Ltd</w:t>
      </w:r>
      <w:r w:rsidR="001E4141" w:rsidRPr="00375DC0">
        <w:rPr>
          <w:rFonts w:ascii="Verdana" w:hAnsi="Verdana"/>
          <w:sz w:val="20"/>
        </w:rPr>
        <w:t xml:space="preserve"> (similar observations might be made about the behaviour of the independent directors)</w:t>
      </w:r>
      <w:r w:rsidR="00A42F50">
        <w:rPr>
          <w:rFonts w:ascii="Verdana" w:hAnsi="Verdana"/>
          <w:sz w:val="20"/>
        </w:rPr>
        <w:t xml:space="preserve">. </w:t>
      </w:r>
      <w:r w:rsidR="005B5D35" w:rsidRPr="00375DC0">
        <w:rPr>
          <w:rFonts w:ascii="Verdana" w:hAnsi="Verdana"/>
          <w:sz w:val="20"/>
        </w:rPr>
        <w:t>However, given the available information, it is likely that B Ltd does not have the power to unilaterally direct the relevant activities of A Ltd</w:t>
      </w:r>
      <w:r w:rsidR="00A42F50">
        <w:rPr>
          <w:rFonts w:ascii="Verdana" w:hAnsi="Verdana"/>
          <w:sz w:val="20"/>
        </w:rPr>
        <w:t xml:space="preserve">. </w:t>
      </w:r>
      <w:r w:rsidR="005B5D35" w:rsidRPr="00375DC0">
        <w:rPr>
          <w:rFonts w:ascii="Verdana" w:hAnsi="Verdana"/>
          <w:sz w:val="20"/>
        </w:rPr>
        <w:t>Consequently, as B Ltd fails the first criterion of the control concept, B Ltd cannot control A Ltd and so A Ltd is not a subsidiary of B Ltd</w:t>
      </w:r>
      <w:r w:rsidR="00A42F50">
        <w:rPr>
          <w:rFonts w:ascii="Verdana" w:hAnsi="Verdana"/>
          <w:sz w:val="20"/>
        </w:rPr>
        <w:t xml:space="preserve">. </w:t>
      </w:r>
      <w:r w:rsidR="005B5D35" w:rsidRPr="00375DC0">
        <w:rPr>
          <w:rFonts w:ascii="Verdana" w:hAnsi="Verdana"/>
          <w:sz w:val="20"/>
        </w:rPr>
        <w:t>(It is unnecessary to address the other control criteria as all three criteria must be satisfied for control to exist</w:t>
      </w:r>
      <w:r w:rsidR="00587CC5">
        <w:rPr>
          <w:rFonts w:ascii="Verdana" w:hAnsi="Verdana"/>
          <w:sz w:val="20"/>
        </w:rPr>
        <w:t>.</w:t>
      </w:r>
      <w:r w:rsidR="005B5D35" w:rsidRPr="00375DC0">
        <w:rPr>
          <w:rFonts w:ascii="Verdana" w:hAnsi="Verdana"/>
          <w:sz w:val="20"/>
        </w:rPr>
        <w:t>)</w:t>
      </w:r>
    </w:p>
    <w:p w:rsidR="005B5D35" w:rsidRPr="00375DC0" w:rsidRDefault="005B5D35" w:rsidP="0057182A">
      <w:pPr>
        <w:ind w:firstLine="0"/>
        <w:jc w:val="left"/>
        <w:rPr>
          <w:rFonts w:ascii="Verdana" w:hAnsi="Verdana"/>
          <w:sz w:val="20"/>
        </w:rPr>
      </w:pPr>
    </w:p>
    <w:p w:rsidR="000F693A" w:rsidRPr="00452273" w:rsidRDefault="000F693A" w:rsidP="0057182A">
      <w:pPr>
        <w:ind w:firstLine="0"/>
        <w:jc w:val="left"/>
        <w:rPr>
          <w:rFonts w:ascii="Verdana" w:hAnsi="Verdana"/>
          <w:sz w:val="20"/>
        </w:rPr>
      </w:pPr>
      <w:r w:rsidRPr="00375DC0">
        <w:rPr>
          <w:rFonts w:ascii="Verdana" w:hAnsi="Verdana"/>
          <w:b/>
          <w:sz w:val="20"/>
        </w:rPr>
        <w:lastRenderedPageBreak/>
        <w:t>Part B</w:t>
      </w:r>
    </w:p>
    <w:p w:rsidR="000F693A" w:rsidRPr="00375DC0" w:rsidRDefault="000F693A" w:rsidP="0057182A">
      <w:pPr>
        <w:ind w:firstLine="0"/>
        <w:jc w:val="left"/>
        <w:rPr>
          <w:rFonts w:ascii="Verdana" w:hAnsi="Verdana"/>
          <w:sz w:val="20"/>
        </w:rPr>
      </w:pPr>
    </w:p>
    <w:p w:rsidR="000F693A" w:rsidRPr="00375DC0" w:rsidRDefault="001E4141" w:rsidP="0057182A">
      <w:pPr>
        <w:ind w:firstLine="0"/>
        <w:jc w:val="left"/>
        <w:rPr>
          <w:rFonts w:ascii="Verdana" w:hAnsi="Verdana"/>
          <w:sz w:val="20"/>
        </w:rPr>
      </w:pPr>
      <w:r w:rsidRPr="00375DC0">
        <w:rPr>
          <w:rFonts w:ascii="Verdana" w:hAnsi="Verdana"/>
          <w:sz w:val="20"/>
        </w:rPr>
        <w:t>The AASB 10 control criteria outlined in Part A need to be reapplied to this new set of facts</w:t>
      </w:r>
      <w:r w:rsidR="00A42F50">
        <w:rPr>
          <w:rFonts w:ascii="Verdana" w:hAnsi="Verdana"/>
          <w:sz w:val="20"/>
        </w:rPr>
        <w:t xml:space="preserve">. </w:t>
      </w:r>
      <w:r w:rsidRPr="00375DC0">
        <w:rPr>
          <w:rFonts w:ascii="Verdana" w:hAnsi="Verdana"/>
          <w:sz w:val="20"/>
        </w:rPr>
        <w:t>The key issue relates to whether the rights that come with the call option are current and substantive</w:t>
      </w:r>
      <w:r w:rsidR="00A42F50">
        <w:rPr>
          <w:rFonts w:ascii="Verdana" w:hAnsi="Verdana"/>
          <w:sz w:val="20"/>
        </w:rPr>
        <w:t xml:space="preserve">. </w:t>
      </w:r>
      <w:r w:rsidRPr="00375DC0">
        <w:rPr>
          <w:rFonts w:ascii="Verdana" w:hAnsi="Verdana"/>
          <w:sz w:val="20"/>
        </w:rPr>
        <w:t>AASB 10.B22 requires that the holder of the right must have the current practical ability to exercise that right</w:t>
      </w:r>
      <w:r w:rsidR="00A42F50">
        <w:rPr>
          <w:rFonts w:ascii="Verdana" w:hAnsi="Verdana"/>
          <w:sz w:val="20"/>
        </w:rPr>
        <w:t xml:space="preserve">. </w:t>
      </w:r>
      <w:r w:rsidRPr="00375DC0">
        <w:rPr>
          <w:rFonts w:ascii="Verdana" w:hAnsi="Verdana"/>
          <w:sz w:val="20"/>
        </w:rPr>
        <w:t>AASB 10.12 states that i</w:t>
      </w:r>
      <w:r w:rsidR="00587CC5">
        <w:rPr>
          <w:rFonts w:ascii="Verdana" w:hAnsi="Verdana"/>
          <w:sz w:val="20"/>
        </w:rPr>
        <w:t>t</w:t>
      </w:r>
      <w:r w:rsidRPr="00375DC0">
        <w:rPr>
          <w:rFonts w:ascii="Verdana" w:hAnsi="Verdana"/>
          <w:sz w:val="20"/>
        </w:rPr>
        <w:t xml:space="preserve"> is not necessary for the holder of the right to have yet exercised that right for it to be substantive (i.e., in this case, the fact that B Ltd has indicated that it does not intend to exercise the right does not matter to determining whether B Ltd has power over A Ltd)</w:t>
      </w:r>
      <w:r w:rsidR="00A42F50">
        <w:rPr>
          <w:rFonts w:ascii="Verdana" w:hAnsi="Verdana"/>
          <w:sz w:val="20"/>
        </w:rPr>
        <w:t xml:space="preserve">. </w:t>
      </w:r>
      <w:r w:rsidRPr="00375DC0">
        <w:rPr>
          <w:rFonts w:ascii="Verdana" w:hAnsi="Verdana"/>
          <w:sz w:val="20"/>
        </w:rPr>
        <w:t>The facts of the case are silent on whether the call option held by B Ltd is currently exercisable</w:t>
      </w:r>
      <w:r w:rsidR="00587CC5">
        <w:rPr>
          <w:rFonts w:ascii="Verdana" w:hAnsi="Verdana"/>
          <w:sz w:val="20"/>
        </w:rPr>
        <w:t>—</w:t>
      </w:r>
      <w:r w:rsidRPr="00375DC0">
        <w:rPr>
          <w:rFonts w:ascii="Verdana" w:hAnsi="Verdana"/>
          <w:sz w:val="20"/>
        </w:rPr>
        <w:t>AASB 10.B22–B25 and AASB 10.B47–B50 provide relevant guidance with regard to substantive potential voting rights</w:t>
      </w:r>
      <w:r w:rsidR="00A42F50">
        <w:rPr>
          <w:rFonts w:ascii="Verdana" w:hAnsi="Verdana"/>
          <w:sz w:val="20"/>
        </w:rPr>
        <w:t xml:space="preserve">. </w:t>
      </w:r>
      <w:r w:rsidRPr="00375DC0">
        <w:rPr>
          <w:rFonts w:ascii="Verdana" w:hAnsi="Verdana"/>
          <w:sz w:val="20"/>
        </w:rPr>
        <w:t xml:space="preserve">In general, this guidance suggests that provided the options held by B Ltd are currently exercisable (e.g., they are not </w:t>
      </w:r>
      <w:r w:rsidR="00587CC5">
        <w:rPr>
          <w:rFonts w:ascii="Verdana" w:hAnsi="Verdana"/>
          <w:sz w:val="20"/>
        </w:rPr>
        <w:t>‘</w:t>
      </w:r>
      <w:r w:rsidRPr="00375DC0">
        <w:rPr>
          <w:rFonts w:ascii="Verdana" w:hAnsi="Verdana"/>
          <w:sz w:val="20"/>
        </w:rPr>
        <w:t>out</w:t>
      </w:r>
      <w:r w:rsidR="00587CC5">
        <w:rPr>
          <w:rFonts w:ascii="Verdana" w:hAnsi="Verdana"/>
          <w:sz w:val="20"/>
        </w:rPr>
        <w:t xml:space="preserve"> </w:t>
      </w:r>
      <w:r w:rsidRPr="00375DC0">
        <w:rPr>
          <w:rFonts w:ascii="Verdana" w:hAnsi="Verdana"/>
          <w:sz w:val="20"/>
        </w:rPr>
        <w:t>of</w:t>
      </w:r>
      <w:r w:rsidR="00587CC5">
        <w:rPr>
          <w:rFonts w:ascii="Verdana" w:hAnsi="Verdana"/>
          <w:sz w:val="20"/>
        </w:rPr>
        <w:t xml:space="preserve"> </w:t>
      </w:r>
      <w:r w:rsidRPr="00375DC0">
        <w:rPr>
          <w:rFonts w:ascii="Verdana" w:hAnsi="Verdana"/>
          <w:sz w:val="20"/>
        </w:rPr>
        <w:t>the money</w:t>
      </w:r>
      <w:r w:rsidR="00587CC5">
        <w:rPr>
          <w:rFonts w:ascii="Verdana" w:hAnsi="Verdana"/>
          <w:sz w:val="20"/>
        </w:rPr>
        <w:t>’</w:t>
      </w:r>
      <w:r w:rsidRPr="00375DC0">
        <w:rPr>
          <w:rFonts w:ascii="Verdana" w:hAnsi="Verdana"/>
          <w:sz w:val="20"/>
        </w:rPr>
        <w:t>), then B Ltd would have power to direct the relevant activities of A Ltd</w:t>
      </w:r>
      <w:r w:rsidR="00A42F50">
        <w:rPr>
          <w:rFonts w:ascii="Verdana" w:hAnsi="Verdana"/>
          <w:sz w:val="20"/>
        </w:rPr>
        <w:t xml:space="preserve">. </w:t>
      </w:r>
    </w:p>
    <w:p w:rsidR="000F693A" w:rsidRPr="00375DC0" w:rsidRDefault="000F693A" w:rsidP="0057182A">
      <w:pPr>
        <w:ind w:firstLine="0"/>
        <w:jc w:val="left"/>
        <w:rPr>
          <w:rFonts w:ascii="Verdana" w:hAnsi="Verdana"/>
          <w:sz w:val="20"/>
        </w:rPr>
      </w:pPr>
      <w:r w:rsidRPr="00375DC0">
        <w:rPr>
          <w:rFonts w:ascii="Verdana" w:hAnsi="Verdana"/>
          <w:sz w:val="20"/>
        </w:rPr>
        <w:t xml:space="preserve">B Ltd </w:t>
      </w:r>
      <w:r w:rsidR="001E4141" w:rsidRPr="00375DC0">
        <w:rPr>
          <w:rFonts w:ascii="Verdana" w:hAnsi="Verdana"/>
          <w:sz w:val="20"/>
        </w:rPr>
        <w:t xml:space="preserve">would have </w:t>
      </w:r>
      <w:r w:rsidRPr="00375DC0">
        <w:rPr>
          <w:rFonts w:ascii="Verdana" w:hAnsi="Verdana"/>
          <w:sz w:val="20"/>
        </w:rPr>
        <w:t>the capacity to control 53% of A Ltd ordinary voting shares, being their current 30% shareholding and the additional 23% shareholding (calculated as 1</w:t>
      </w:r>
      <w:r w:rsidR="00587CC5">
        <w:rPr>
          <w:rFonts w:ascii="Verdana" w:hAnsi="Verdana"/>
          <w:sz w:val="20"/>
        </w:rPr>
        <w:t xml:space="preserve"> </w:t>
      </w:r>
      <w:r w:rsidR="004F0AA8">
        <w:rPr>
          <w:rFonts w:ascii="Verdana" w:hAnsi="Verdana"/>
          <w:sz w:val="20"/>
        </w:rPr>
        <w:t>– [</w:t>
      </w:r>
      <w:r w:rsidR="00587CC5">
        <w:rPr>
          <w:rFonts w:ascii="Verdana" w:hAnsi="Verdana"/>
          <w:sz w:val="20"/>
        </w:rPr>
        <w:t>0</w:t>
      </w:r>
      <w:r w:rsidR="00587CC5" w:rsidRPr="00375DC0">
        <w:rPr>
          <w:rFonts w:ascii="Verdana" w:hAnsi="Verdana"/>
          <w:sz w:val="20"/>
        </w:rPr>
        <w:t>.</w:t>
      </w:r>
      <w:r w:rsidRPr="00375DC0">
        <w:rPr>
          <w:rFonts w:ascii="Verdana" w:hAnsi="Verdana"/>
          <w:sz w:val="20"/>
        </w:rPr>
        <w:t xml:space="preserve">3 + </w:t>
      </w:r>
      <w:r w:rsidR="00587CC5">
        <w:rPr>
          <w:rFonts w:ascii="Verdana" w:hAnsi="Verdana"/>
          <w:sz w:val="20"/>
        </w:rPr>
        <w:t>0</w:t>
      </w:r>
      <w:r w:rsidRPr="00375DC0">
        <w:rPr>
          <w:rFonts w:ascii="Verdana" w:hAnsi="Verdana"/>
          <w:sz w:val="20"/>
        </w:rPr>
        <w:t xml:space="preserve">.22 + </w:t>
      </w:r>
      <w:r w:rsidR="00587CC5">
        <w:rPr>
          <w:rFonts w:ascii="Verdana" w:hAnsi="Verdana"/>
          <w:sz w:val="20"/>
        </w:rPr>
        <w:t>0</w:t>
      </w:r>
      <w:r w:rsidRPr="00375DC0">
        <w:rPr>
          <w:rFonts w:ascii="Verdana" w:hAnsi="Verdana"/>
          <w:sz w:val="20"/>
        </w:rPr>
        <w:t>.25</w:t>
      </w:r>
      <w:r w:rsidR="00587CC5">
        <w:rPr>
          <w:rFonts w:ascii="Verdana" w:hAnsi="Verdana"/>
          <w:sz w:val="20"/>
        </w:rPr>
        <w:t>]</w:t>
      </w:r>
      <w:r w:rsidRPr="00375DC0">
        <w:rPr>
          <w:rFonts w:ascii="Verdana" w:hAnsi="Verdana"/>
          <w:sz w:val="20"/>
        </w:rPr>
        <w:t>) from the currently exercisable options. B Ltd would be able to remove current members and appoint other members to A Ltd Board of Directors</w:t>
      </w:r>
      <w:r w:rsidR="00A42F50">
        <w:rPr>
          <w:rFonts w:ascii="Verdana" w:hAnsi="Verdana"/>
          <w:sz w:val="20"/>
        </w:rPr>
        <w:t xml:space="preserve">. </w:t>
      </w:r>
      <w:r w:rsidR="001E4141" w:rsidRPr="00375DC0">
        <w:rPr>
          <w:rFonts w:ascii="Verdana" w:hAnsi="Verdana"/>
          <w:sz w:val="20"/>
        </w:rPr>
        <w:t xml:space="preserve"> If, however, the options were not currently exercisable, then B Ltd would not appear to have power to direct the relevant activities of A Ltd (as discussed in Part A of this question).</w:t>
      </w:r>
    </w:p>
    <w:p w:rsidR="001E4141" w:rsidRPr="00375DC0" w:rsidRDefault="001E4141" w:rsidP="0057182A">
      <w:pPr>
        <w:ind w:firstLine="0"/>
        <w:jc w:val="left"/>
        <w:rPr>
          <w:rFonts w:ascii="Verdana" w:hAnsi="Verdana"/>
          <w:sz w:val="20"/>
        </w:rPr>
      </w:pPr>
    </w:p>
    <w:p w:rsidR="001E4141" w:rsidRPr="00375DC0" w:rsidRDefault="001E4141" w:rsidP="0057182A">
      <w:pPr>
        <w:ind w:firstLine="0"/>
        <w:jc w:val="left"/>
        <w:rPr>
          <w:rFonts w:ascii="Verdana" w:hAnsi="Verdana"/>
          <w:sz w:val="20"/>
        </w:rPr>
      </w:pPr>
      <w:r w:rsidRPr="00375DC0">
        <w:rPr>
          <w:rFonts w:ascii="Verdana" w:hAnsi="Verdana"/>
          <w:sz w:val="20"/>
        </w:rPr>
        <w:t xml:space="preserve">If it is concluded that </w:t>
      </w:r>
      <w:r w:rsidR="003D5BAC" w:rsidRPr="00375DC0">
        <w:rPr>
          <w:rFonts w:ascii="Verdana" w:hAnsi="Verdana"/>
          <w:sz w:val="20"/>
        </w:rPr>
        <w:t>B Ltd could exercise the options and so then direct the relevant activities of A Ltd, it would be necessary to then also consider the remaining two criteria of the control concept of AASB 10.7.</w:t>
      </w:r>
    </w:p>
    <w:p w:rsidR="003D5BAC" w:rsidRPr="00375DC0" w:rsidRDefault="003D5BAC" w:rsidP="0057182A">
      <w:pPr>
        <w:ind w:firstLine="0"/>
        <w:jc w:val="left"/>
        <w:rPr>
          <w:rFonts w:ascii="Verdana" w:hAnsi="Verdana"/>
          <w:sz w:val="20"/>
        </w:rPr>
      </w:pPr>
    </w:p>
    <w:p w:rsidR="003D5BAC" w:rsidRPr="00375DC0" w:rsidRDefault="003D5BAC" w:rsidP="0057182A">
      <w:pPr>
        <w:ind w:firstLine="0"/>
        <w:jc w:val="left"/>
        <w:rPr>
          <w:rFonts w:ascii="Verdana" w:hAnsi="Verdana"/>
          <w:sz w:val="20"/>
        </w:rPr>
      </w:pPr>
      <w:r w:rsidRPr="00375DC0">
        <w:rPr>
          <w:rFonts w:ascii="Verdana" w:hAnsi="Verdana"/>
          <w:sz w:val="20"/>
        </w:rPr>
        <w:t>Is B Ltd exposed to variable returns from its investment in A Ltd?</w:t>
      </w:r>
    </w:p>
    <w:p w:rsidR="003D5BAC" w:rsidRPr="00375DC0" w:rsidRDefault="003D5BAC" w:rsidP="0057182A">
      <w:pPr>
        <w:ind w:firstLine="0"/>
        <w:jc w:val="left"/>
        <w:rPr>
          <w:rFonts w:ascii="Verdana" w:hAnsi="Verdana"/>
          <w:sz w:val="20"/>
        </w:rPr>
      </w:pPr>
      <w:r w:rsidRPr="00375DC0">
        <w:rPr>
          <w:rFonts w:ascii="Verdana" w:hAnsi="Verdana"/>
          <w:sz w:val="20"/>
        </w:rPr>
        <w:t>The answer to this question would be yes</w:t>
      </w:r>
      <w:r w:rsidR="00A42F50">
        <w:rPr>
          <w:rFonts w:ascii="Verdana" w:hAnsi="Verdana"/>
          <w:sz w:val="20"/>
        </w:rPr>
        <w:t xml:space="preserve">. </w:t>
      </w:r>
      <w:r w:rsidRPr="00375DC0">
        <w:rPr>
          <w:rFonts w:ascii="Verdana" w:hAnsi="Verdana"/>
          <w:sz w:val="20"/>
        </w:rPr>
        <w:t>For instance, part of B Ltd’s returns would be dividends and the capital value of the A Ltd investment</w:t>
      </w:r>
      <w:r w:rsidR="00A42F50">
        <w:rPr>
          <w:rFonts w:ascii="Verdana" w:hAnsi="Verdana"/>
          <w:sz w:val="20"/>
        </w:rPr>
        <w:t xml:space="preserve">. </w:t>
      </w:r>
      <w:r w:rsidRPr="00375DC0">
        <w:rPr>
          <w:rFonts w:ascii="Verdana" w:hAnsi="Verdana"/>
          <w:sz w:val="20"/>
        </w:rPr>
        <w:t>In addition, it might be argued that as the raw material produced by A Ltd is so central to the manufacturing activities of B Ltd, this would also impact on B Ltd’s returns.</w:t>
      </w:r>
    </w:p>
    <w:p w:rsidR="003D5BAC" w:rsidRPr="00375DC0" w:rsidRDefault="003D5BAC" w:rsidP="0057182A">
      <w:pPr>
        <w:ind w:firstLine="0"/>
        <w:jc w:val="left"/>
        <w:rPr>
          <w:rFonts w:ascii="Verdana" w:hAnsi="Verdana"/>
          <w:sz w:val="20"/>
        </w:rPr>
      </w:pPr>
    </w:p>
    <w:p w:rsidR="003D5BAC" w:rsidRPr="00375DC0" w:rsidRDefault="003D5BAC" w:rsidP="0057182A">
      <w:pPr>
        <w:ind w:firstLine="0"/>
        <w:jc w:val="left"/>
        <w:rPr>
          <w:rFonts w:ascii="Verdana" w:hAnsi="Verdana"/>
          <w:sz w:val="20"/>
        </w:rPr>
      </w:pPr>
      <w:r w:rsidRPr="00375DC0">
        <w:rPr>
          <w:rFonts w:ascii="Verdana" w:hAnsi="Verdana"/>
          <w:sz w:val="20"/>
        </w:rPr>
        <w:t>Can B Ltd use its power over A Ltd to affect the amount of its returns from A Ltd?</w:t>
      </w:r>
    </w:p>
    <w:p w:rsidR="003D5BAC" w:rsidRPr="00375DC0" w:rsidRDefault="003D5BAC" w:rsidP="0057182A">
      <w:pPr>
        <w:ind w:firstLine="0"/>
        <w:jc w:val="left"/>
        <w:rPr>
          <w:rFonts w:ascii="Verdana" w:hAnsi="Verdana"/>
          <w:sz w:val="20"/>
        </w:rPr>
      </w:pPr>
      <w:r w:rsidRPr="00375DC0">
        <w:rPr>
          <w:rFonts w:ascii="Verdana" w:hAnsi="Verdana"/>
          <w:sz w:val="20"/>
        </w:rPr>
        <w:t>The answer would again be yes</w:t>
      </w:r>
      <w:r w:rsidR="00A42F50">
        <w:rPr>
          <w:rFonts w:ascii="Verdana" w:hAnsi="Verdana"/>
          <w:sz w:val="20"/>
        </w:rPr>
        <w:t xml:space="preserve">. </w:t>
      </w:r>
      <w:r w:rsidRPr="00375DC0">
        <w:rPr>
          <w:rFonts w:ascii="Verdana" w:hAnsi="Verdana"/>
          <w:sz w:val="20"/>
        </w:rPr>
        <w:t>As one of the key relevant activities of A Ltd would be manufacturing the rare raw material and B Ltd, through its voting power could make decisions that impact on A Ltd’s manufacturing activities, B Ltd’s use of its power would have a direct impact upon the returns generated from A Ltd’s manufacturing and sales of the raw material.</w:t>
      </w:r>
    </w:p>
    <w:p w:rsidR="003D5BAC" w:rsidRPr="00375DC0" w:rsidRDefault="003D5BAC" w:rsidP="0057182A">
      <w:pPr>
        <w:ind w:firstLine="0"/>
        <w:jc w:val="left"/>
        <w:rPr>
          <w:rFonts w:ascii="Verdana" w:hAnsi="Verdana"/>
          <w:sz w:val="20"/>
        </w:rPr>
      </w:pPr>
    </w:p>
    <w:p w:rsidR="003D5BAC" w:rsidRPr="00375DC0" w:rsidRDefault="003D5BAC" w:rsidP="0057182A">
      <w:pPr>
        <w:ind w:firstLine="0"/>
        <w:jc w:val="left"/>
        <w:rPr>
          <w:rFonts w:ascii="Verdana" w:hAnsi="Verdana"/>
          <w:sz w:val="20"/>
        </w:rPr>
      </w:pPr>
      <w:r w:rsidRPr="00375DC0">
        <w:rPr>
          <w:rFonts w:ascii="Verdana" w:hAnsi="Verdana"/>
          <w:sz w:val="20"/>
        </w:rPr>
        <w:t>As all three of the control criteria can be satisfied (based on the assumption that the options are currently exercisable), it can be concluded that in this case, B Ltd controls A Ltd and so A Ltd is a subsidiary of B Ltd.</w:t>
      </w:r>
    </w:p>
    <w:p w:rsidR="003D5BAC" w:rsidRPr="00375DC0" w:rsidRDefault="003D5BAC" w:rsidP="0057182A">
      <w:pPr>
        <w:ind w:firstLine="0"/>
        <w:jc w:val="left"/>
        <w:rPr>
          <w:rFonts w:ascii="Verdana" w:hAnsi="Verdana"/>
          <w:sz w:val="20"/>
        </w:rPr>
      </w:pPr>
    </w:p>
    <w:p w:rsidR="000F693A" w:rsidRPr="00375DC0" w:rsidRDefault="000F693A" w:rsidP="0057182A">
      <w:pPr>
        <w:ind w:firstLine="0"/>
        <w:jc w:val="left"/>
        <w:rPr>
          <w:rFonts w:ascii="Verdana" w:hAnsi="Verdana"/>
          <w:sz w:val="20"/>
        </w:rPr>
      </w:pPr>
    </w:p>
    <w:p w:rsidR="009428EA" w:rsidRPr="004F0AA8" w:rsidRDefault="00D20F4F" w:rsidP="0057182A">
      <w:pPr>
        <w:pStyle w:val="EOCtext"/>
        <w:spacing w:line="240" w:lineRule="auto"/>
        <w:rPr>
          <w:rFonts w:ascii="Verdana" w:hAnsi="Verdana" w:cs="Times New Roman"/>
          <w:b/>
          <w:i/>
          <w:color w:val="auto"/>
          <w:lang w:val="en-AU"/>
        </w:rPr>
      </w:pPr>
      <w:r>
        <w:rPr>
          <w:rFonts w:ascii="Verdana" w:hAnsi="Verdana" w:cs="Times New Roman"/>
          <w:b/>
          <w:i/>
          <w:color w:val="auto"/>
          <w:lang w:val="en-AU"/>
        </w:rPr>
        <w:br w:type="page"/>
      </w:r>
      <w:r w:rsidR="00AC5B89" w:rsidRPr="004F0AA8">
        <w:rPr>
          <w:rFonts w:ascii="Verdana" w:hAnsi="Verdana" w:cs="Times New Roman"/>
          <w:b/>
          <w:i/>
          <w:color w:val="auto"/>
          <w:lang w:val="en-AU"/>
        </w:rPr>
        <w:lastRenderedPageBreak/>
        <w:t>Q1.14 Control in the n</w:t>
      </w:r>
      <w:r w:rsidR="009428EA" w:rsidRPr="004F0AA8">
        <w:rPr>
          <w:rFonts w:ascii="Verdana" w:hAnsi="Verdana" w:cs="Times New Roman"/>
          <w:b/>
          <w:i/>
          <w:color w:val="auto"/>
          <w:lang w:val="en-AU"/>
        </w:rPr>
        <w:t xml:space="preserve">ot-for-profit sector </w:t>
      </w:r>
      <w:r w:rsidR="009428EA" w:rsidRPr="00A21D35">
        <w:rPr>
          <w:rFonts w:ascii="Verdana" w:hAnsi="Verdana" w:cs="Times New Roman"/>
          <w:b/>
          <w:i/>
          <w:color w:val="auto"/>
          <w:lang w:val="en-AU"/>
        </w:rPr>
        <w:t>(Section 1.7.7)</w:t>
      </w:r>
    </w:p>
    <w:p w:rsidR="009428EA" w:rsidRPr="00375DC0" w:rsidRDefault="009428EA" w:rsidP="0057182A">
      <w:pPr>
        <w:pStyle w:val="EOCtext"/>
        <w:spacing w:line="240" w:lineRule="auto"/>
        <w:rPr>
          <w:rFonts w:ascii="Verdana" w:hAnsi="Verdana" w:cs="Times New Roman"/>
          <w:color w:val="auto"/>
          <w:lang w:val="en-AU"/>
        </w:rPr>
      </w:pPr>
    </w:p>
    <w:p w:rsidR="009E4662" w:rsidRPr="00375DC0" w:rsidRDefault="009E4662" w:rsidP="0057182A">
      <w:pPr>
        <w:pStyle w:val="EOCtext"/>
        <w:rPr>
          <w:rFonts w:ascii="Verdana" w:hAnsi="Verdana" w:cs="Times New Roman"/>
          <w:color w:val="auto"/>
          <w:lang w:val="en-AU"/>
        </w:rPr>
      </w:pPr>
      <w:r w:rsidRPr="00375DC0">
        <w:rPr>
          <w:rFonts w:ascii="Verdana" w:hAnsi="Verdana" w:cs="Times New Roman"/>
          <w:color w:val="auto"/>
          <w:lang w:val="en-AU"/>
        </w:rPr>
        <w:t>Paragraphs 6 and 7 of AASB 10 indicate that an investor has control over an investee when it is exposed, or has rights, to variable returns from its involvement with the investee and has the ability to affect those returns through its power over the investee</w:t>
      </w:r>
      <w:r w:rsidR="00A42F50">
        <w:rPr>
          <w:rFonts w:ascii="Verdana" w:hAnsi="Verdana" w:cs="Times New Roman"/>
          <w:color w:val="auto"/>
          <w:lang w:val="en-AU"/>
        </w:rPr>
        <w:t xml:space="preserve">. </w:t>
      </w:r>
      <w:r w:rsidRPr="00375DC0">
        <w:rPr>
          <w:rFonts w:ascii="Verdana" w:hAnsi="Verdana" w:cs="Times New Roman"/>
          <w:color w:val="auto"/>
          <w:lang w:val="en-AU"/>
        </w:rPr>
        <w:t>To have control, the investor must have:</w:t>
      </w:r>
    </w:p>
    <w:p w:rsidR="009E4662" w:rsidRPr="00375DC0" w:rsidRDefault="009E4662" w:rsidP="000D0F44">
      <w:pPr>
        <w:pStyle w:val="EOCtext"/>
        <w:ind w:left="357" w:hanging="357"/>
        <w:rPr>
          <w:rFonts w:ascii="Verdana" w:hAnsi="Verdana" w:cs="Times New Roman"/>
          <w:color w:val="auto"/>
          <w:lang w:val="en-AU"/>
        </w:rPr>
      </w:pPr>
      <w:r w:rsidRPr="00375DC0">
        <w:rPr>
          <w:rFonts w:ascii="Verdana" w:hAnsi="Verdana" w:cs="Times New Roman"/>
          <w:color w:val="auto"/>
          <w:lang w:val="en-AU"/>
        </w:rPr>
        <w:t>•</w:t>
      </w:r>
      <w:r w:rsidRPr="00375DC0">
        <w:rPr>
          <w:rFonts w:ascii="Verdana" w:hAnsi="Verdana" w:cs="Times New Roman"/>
          <w:color w:val="auto"/>
          <w:lang w:val="en-AU"/>
        </w:rPr>
        <w:tab/>
      </w:r>
      <w:r w:rsidR="00D20F4F">
        <w:rPr>
          <w:rFonts w:ascii="Verdana" w:hAnsi="Verdana" w:cs="Times New Roman"/>
          <w:color w:val="auto"/>
          <w:lang w:val="en-AU"/>
        </w:rPr>
        <w:t>P</w:t>
      </w:r>
      <w:r w:rsidRPr="00375DC0">
        <w:rPr>
          <w:rFonts w:ascii="Verdana" w:hAnsi="Verdana" w:cs="Times New Roman"/>
          <w:color w:val="auto"/>
          <w:lang w:val="en-AU"/>
        </w:rPr>
        <w:t>ower over the investee; and</w:t>
      </w:r>
    </w:p>
    <w:p w:rsidR="009E4662" w:rsidRPr="00375DC0" w:rsidRDefault="009E4662" w:rsidP="000D0F44">
      <w:pPr>
        <w:pStyle w:val="EOCtext"/>
        <w:ind w:left="357" w:hanging="357"/>
        <w:rPr>
          <w:rFonts w:ascii="Verdana" w:hAnsi="Verdana" w:cs="Times New Roman"/>
          <w:color w:val="auto"/>
          <w:lang w:val="en-AU"/>
        </w:rPr>
      </w:pPr>
      <w:r w:rsidRPr="00375DC0">
        <w:rPr>
          <w:rFonts w:ascii="Verdana" w:hAnsi="Verdana" w:cs="Times New Roman"/>
          <w:color w:val="auto"/>
          <w:lang w:val="en-AU"/>
        </w:rPr>
        <w:t>•</w:t>
      </w:r>
      <w:r w:rsidRPr="00375DC0">
        <w:rPr>
          <w:rFonts w:ascii="Verdana" w:hAnsi="Verdana" w:cs="Times New Roman"/>
          <w:color w:val="auto"/>
          <w:lang w:val="en-AU"/>
        </w:rPr>
        <w:tab/>
      </w:r>
      <w:r w:rsidR="00D20F4F">
        <w:rPr>
          <w:rFonts w:ascii="Verdana" w:hAnsi="Verdana" w:cs="Times New Roman"/>
          <w:color w:val="auto"/>
          <w:lang w:val="en-AU"/>
        </w:rPr>
        <w:t>E</w:t>
      </w:r>
      <w:r w:rsidRPr="00375DC0">
        <w:rPr>
          <w:rFonts w:ascii="Verdana" w:hAnsi="Verdana" w:cs="Times New Roman"/>
          <w:color w:val="auto"/>
          <w:lang w:val="en-AU"/>
        </w:rPr>
        <w:t>xposure or rights to variable returns from its involvement in the investee; and</w:t>
      </w:r>
    </w:p>
    <w:p w:rsidR="009E4662" w:rsidRPr="00375DC0" w:rsidRDefault="009E4662" w:rsidP="000D0F44">
      <w:pPr>
        <w:pStyle w:val="EOCtext"/>
        <w:ind w:left="357" w:hanging="357"/>
        <w:rPr>
          <w:rFonts w:ascii="Verdana" w:hAnsi="Verdana" w:cs="Times New Roman"/>
          <w:color w:val="auto"/>
          <w:lang w:val="en-AU"/>
        </w:rPr>
      </w:pPr>
      <w:r w:rsidRPr="00375DC0">
        <w:rPr>
          <w:rFonts w:ascii="Verdana" w:hAnsi="Verdana" w:cs="Times New Roman"/>
          <w:color w:val="auto"/>
          <w:lang w:val="en-AU"/>
        </w:rPr>
        <w:t>•</w:t>
      </w:r>
      <w:r w:rsidRPr="00375DC0">
        <w:rPr>
          <w:rFonts w:ascii="Verdana" w:hAnsi="Verdana" w:cs="Times New Roman"/>
          <w:color w:val="auto"/>
          <w:lang w:val="en-AU"/>
        </w:rPr>
        <w:tab/>
      </w:r>
      <w:r w:rsidR="00D20F4F">
        <w:rPr>
          <w:rFonts w:ascii="Verdana" w:hAnsi="Verdana" w:cs="Times New Roman"/>
          <w:color w:val="auto"/>
          <w:lang w:val="en-AU"/>
        </w:rPr>
        <w:t>T</w:t>
      </w:r>
      <w:r w:rsidRPr="00375DC0">
        <w:rPr>
          <w:rFonts w:ascii="Verdana" w:hAnsi="Verdana" w:cs="Times New Roman"/>
          <w:color w:val="auto"/>
          <w:lang w:val="en-AU"/>
        </w:rPr>
        <w:t>he ability to use its power over the investee to affect the amount of the investor’s return</w:t>
      </w:r>
      <w:r w:rsidR="00A42F50">
        <w:rPr>
          <w:rFonts w:ascii="Verdana" w:hAnsi="Verdana" w:cs="Times New Roman"/>
          <w:color w:val="auto"/>
          <w:lang w:val="en-AU"/>
        </w:rPr>
        <w:t xml:space="preserve">. </w:t>
      </w:r>
    </w:p>
    <w:p w:rsidR="009E4662" w:rsidRPr="00375DC0" w:rsidRDefault="009E4662" w:rsidP="0057182A">
      <w:pPr>
        <w:pStyle w:val="EOCtext"/>
        <w:rPr>
          <w:rFonts w:ascii="Verdana" w:hAnsi="Verdana" w:cs="Times New Roman"/>
          <w:color w:val="auto"/>
          <w:lang w:val="en-AU"/>
        </w:rPr>
      </w:pPr>
    </w:p>
    <w:p w:rsidR="009E4662" w:rsidRPr="00375DC0" w:rsidRDefault="009E4662" w:rsidP="0057182A">
      <w:pPr>
        <w:pStyle w:val="EOCtext"/>
        <w:rPr>
          <w:rFonts w:ascii="Verdana" w:hAnsi="Verdana" w:cs="Times New Roman"/>
          <w:color w:val="auto"/>
          <w:lang w:val="en-AU"/>
        </w:rPr>
      </w:pPr>
      <w:r w:rsidRPr="00375DC0">
        <w:rPr>
          <w:rFonts w:ascii="Verdana" w:hAnsi="Verdana" w:cs="Times New Roman"/>
          <w:color w:val="auto"/>
          <w:lang w:val="en-AU"/>
        </w:rPr>
        <w:t>AASB 10.10 indicates that to have ‘power’ over the investee, the investor must have existing rights that allow it to direct the relevant activities of the investee</w:t>
      </w:r>
      <w:r w:rsidR="00A42F50">
        <w:rPr>
          <w:rFonts w:ascii="Verdana" w:hAnsi="Verdana" w:cs="Times New Roman"/>
          <w:color w:val="auto"/>
          <w:lang w:val="en-AU"/>
        </w:rPr>
        <w:t xml:space="preserve">. </w:t>
      </w:r>
      <w:r w:rsidRPr="00375DC0">
        <w:rPr>
          <w:rFonts w:ascii="Verdana" w:hAnsi="Verdana" w:cs="Times New Roman"/>
          <w:color w:val="auto"/>
          <w:lang w:val="en-AU"/>
        </w:rPr>
        <w:t>AASB 10.B15 (b) indicates that the right to appoint, reassign or remove members of an investee’s key management is one example of such a right to direct relevant activities</w:t>
      </w:r>
      <w:r w:rsidR="00A42F50">
        <w:rPr>
          <w:rFonts w:ascii="Verdana" w:hAnsi="Verdana" w:cs="Times New Roman"/>
          <w:color w:val="auto"/>
          <w:lang w:val="en-AU"/>
        </w:rPr>
        <w:t xml:space="preserve">. </w:t>
      </w:r>
      <w:r w:rsidRPr="00375DC0">
        <w:rPr>
          <w:rFonts w:ascii="Verdana" w:hAnsi="Verdana" w:cs="Times New Roman"/>
          <w:color w:val="auto"/>
          <w:lang w:val="en-AU"/>
        </w:rPr>
        <w:t>AASB 10.B26–B28 specify that some rights might be protective rights (which are defined in AASB 10.Appendix A as “rights designed to protect the interest of the party holding those rights without giving that party power over the entity to which those rights relate</w:t>
      </w:r>
      <w:r w:rsidR="00D20F4F">
        <w:rPr>
          <w:rFonts w:ascii="Verdana" w:hAnsi="Verdana" w:cs="Times New Roman"/>
          <w:color w:val="auto"/>
          <w:lang w:val="en-AU"/>
        </w:rPr>
        <w:t>”</w:t>
      </w:r>
      <w:r w:rsidRPr="00375DC0">
        <w:rPr>
          <w:rFonts w:ascii="Verdana" w:hAnsi="Verdana" w:cs="Times New Roman"/>
          <w:color w:val="auto"/>
          <w:lang w:val="en-AU"/>
        </w:rPr>
        <w:t>)</w:t>
      </w:r>
      <w:r w:rsidR="00A42F50">
        <w:rPr>
          <w:rFonts w:ascii="Verdana" w:hAnsi="Verdana" w:cs="Times New Roman"/>
          <w:color w:val="auto"/>
          <w:lang w:val="en-AU"/>
        </w:rPr>
        <w:t xml:space="preserve">. </w:t>
      </w:r>
      <w:r w:rsidRPr="00375DC0">
        <w:rPr>
          <w:rFonts w:ascii="Verdana" w:hAnsi="Verdana" w:cs="Times New Roman"/>
          <w:color w:val="auto"/>
          <w:lang w:val="en-AU"/>
        </w:rPr>
        <w:t>AASB 10.B27 is clear that an entity that only possesses protective rights does not have power over another entity in the form specified in AASB 10.6.</w:t>
      </w:r>
    </w:p>
    <w:p w:rsidR="009E4662" w:rsidRPr="00375DC0" w:rsidRDefault="009E4662" w:rsidP="0057182A">
      <w:pPr>
        <w:pStyle w:val="EOCtext"/>
        <w:rPr>
          <w:rFonts w:ascii="Verdana" w:hAnsi="Verdana" w:cs="Times New Roman"/>
          <w:color w:val="auto"/>
          <w:lang w:val="en-AU"/>
        </w:rPr>
      </w:pPr>
    </w:p>
    <w:p w:rsidR="009E4662" w:rsidRPr="00375DC0" w:rsidRDefault="009E4662" w:rsidP="0057182A">
      <w:pPr>
        <w:pStyle w:val="EOCtext"/>
        <w:rPr>
          <w:rFonts w:ascii="Verdana" w:hAnsi="Verdana" w:cs="Times New Roman"/>
          <w:color w:val="auto"/>
          <w:lang w:val="en-AU"/>
        </w:rPr>
      </w:pPr>
      <w:r w:rsidRPr="00375DC0">
        <w:rPr>
          <w:rFonts w:ascii="Verdana" w:hAnsi="Verdana" w:cs="Times New Roman"/>
          <w:color w:val="auto"/>
          <w:lang w:val="en-AU"/>
        </w:rPr>
        <w:t>Paragraph IG4 of Appendix E indicates that in a not-for-profit context</w:t>
      </w:r>
      <w:r w:rsidR="00D20F4F">
        <w:rPr>
          <w:rFonts w:ascii="Verdana" w:hAnsi="Verdana" w:cs="Times New Roman"/>
          <w:color w:val="auto"/>
          <w:lang w:val="en-AU"/>
        </w:rPr>
        <w:t>,</w:t>
      </w:r>
      <w:r w:rsidRPr="00375DC0">
        <w:rPr>
          <w:rFonts w:ascii="Verdana" w:hAnsi="Verdana" w:cs="Times New Roman"/>
          <w:color w:val="auto"/>
          <w:lang w:val="en-AU"/>
        </w:rPr>
        <w:t xml:space="preserve"> the principles in AASB 10.5 and 11 remain relevant</w:t>
      </w:r>
      <w:r w:rsidR="00A42F50">
        <w:rPr>
          <w:rFonts w:ascii="Verdana" w:hAnsi="Verdana" w:cs="Times New Roman"/>
          <w:color w:val="auto"/>
          <w:lang w:val="en-AU"/>
        </w:rPr>
        <w:t xml:space="preserve">. </w:t>
      </w:r>
      <w:r w:rsidRPr="00375DC0">
        <w:rPr>
          <w:rFonts w:ascii="Verdana" w:hAnsi="Verdana" w:cs="Times New Roman"/>
          <w:color w:val="auto"/>
          <w:lang w:val="en-AU"/>
        </w:rPr>
        <w:t>The ability to control another entity is not limited only to circumstances in which there is a financial interest by the investor in the investee</w:t>
      </w:r>
      <w:r w:rsidR="00A42F50">
        <w:rPr>
          <w:rFonts w:ascii="Verdana" w:hAnsi="Verdana" w:cs="Times New Roman"/>
          <w:color w:val="auto"/>
          <w:lang w:val="en-AU"/>
        </w:rPr>
        <w:t xml:space="preserve">. </w:t>
      </w:r>
      <w:r w:rsidRPr="00375DC0">
        <w:rPr>
          <w:rFonts w:ascii="Verdana" w:hAnsi="Verdana" w:cs="Times New Roman"/>
          <w:color w:val="auto"/>
          <w:lang w:val="en-AU"/>
        </w:rPr>
        <w:t>Paragraph IG6 notes that power can arise from statutory provisions and IG8 specifically states that “subject to consideration of all the facts and circumstances, a State or Territory government normally would not have power to direct the relevant activities (i</w:t>
      </w:r>
      <w:r w:rsidR="00D20F4F">
        <w:rPr>
          <w:rFonts w:ascii="Verdana" w:hAnsi="Verdana" w:cs="Times New Roman"/>
          <w:color w:val="auto"/>
          <w:lang w:val="en-AU"/>
        </w:rPr>
        <w:t>.</w:t>
      </w:r>
      <w:r w:rsidRPr="00375DC0">
        <w:rPr>
          <w:rFonts w:ascii="Verdana" w:hAnsi="Verdana" w:cs="Times New Roman"/>
          <w:color w:val="auto"/>
          <w:lang w:val="en-AU"/>
        </w:rPr>
        <w:t>e</w:t>
      </w:r>
      <w:r w:rsidR="00D20F4F">
        <w:rPr>
          <w:rFonts w:ascii="Verdana" w:hAnsi="Verdana" w:cs="Times New Roman"/>
          <w:color w:val="auto"/>
          <w:lang w:val="en-AU"/>
        </w:rPr>
        <w:t>.,</w:t>
      </w:r>
      <w:r w:rsidRPr="00375DC0">
        <w:rPr>
          <w:rFonts w:ascii="Verdana" w:hAnsi="Verdana" w:cs="Times New Roman"/>
          <w:color w:val="auto"/>
          <w:lang w:val="en-AU"/>
        </w:rPr>
        <w:t xml:space="preserve"> the activities that significantly affect the returns) of a local government that determines through the council elected periodically by the local community how to deploy the local government’s resources in the interests of the local community (even though those interests might coincide with or overlap the interests of the State or Territory government)” (although, as noted, this must always be assessed on the basis of the specific facts and circumstances of each case </w:t>
      </w:r>
      <w:r w:rsidR="00D20F4F">
        <w:rPr>
          <w:rFonts w:ascii="Verdana" w:hAnsi="Verdana" w:cs="Times New Roman"/>
          <w:color w:val="auto"/>
          <w:lang w:val="en-AU"/>
        </w:rPr>
        <w:t>[</w:t>
      </w:r>
      <w:r w:rsidRPr="00375DC0">
        <w:rPr>
          <w:rFonts w:ascii="Verdana" w:hAnsi="Verdana" w:cs="Times New Roman"/>
          <w:color w:val="auto"/>
          <w:lang w:val="en-AU"/>
        </w:rPr>
        <w:t>IG3</w:t>
      </w:r>
      <w:r w:rsidR="00D20F4F">
        <w:rPr>
          <w:rFonts w:ascii="Verdana" w:hAnsi="Verdana" w:cs="Times New Roman"/>
          <w:color w:val="auto"/>
          <w:lang w:val="en-AU"/>
        </w:rPr>
        <w:t>]</w:t>
      </w:r>
      <w:r w:rsidRPr="00375DC0">
        <w:rPr>
          <w:rFonts w:ascii="Verdana" w:hAnsi="Verdana" w:cs="Times New Roman"/>
          <w:color w:val="auto"/>
          <w:lang w:val="en-AU"/>
        </w:rPr>
        <w:t>)</w:t>
      </w:r>
      <w:r w:rsidR="00A42F50">
        <w:rPr>
          <w:rFonts w:ascii="Verdana" w:hAnsi="Verdana" w:cs="Times New Roman"/>
          <w:color w:val="auto"/>
          <w:lang w:val="en-AU"/>
        </w:rPr>
        <w:t xml:space="preserve">. </w:t>
      </w:r>
    </w:p>
    <w:p w:rsidR="009E4662" w:rsidRPr="00375DC0" w:rsidRDefault="009E4662" w:rsidP="0057182A">
      <w:pPr>
        <w:pStyle w:val="EOCtext"/>
        <w:rPr>
          <w:rFonts w:ascii="Verdana" w:hAnsi="Verdana" w:cs="Times New Roman"/>
          <w:color w:val="auto"/>
          <w:lang w:val="en-AU"/>
        </w:rPr>
      </w:pPr>
    </w:p>
    <w:p w:rsidR="009E4662" w:rsidRPr="00375DC0" w:rsidRDefault="009E4662" w:rsidP="0057182A">
      <w:pPr>
        <w:pStyle w:val="EOCtext"/>
        <w:rPr>
          <w:rFonts w:ascii="Verdana" w:hAnsi="Verdana" w:cs="Times New Roman"/>
          <w:color w:val="auto"/>
          <w:lang w:val="en-AU"/>
        </w:rPr>
      </w:pPr>
      <w:r w:rsidRPr="00375DC0">
        <w:rPr>
          <w:rFonts w:ascii="Verdana" w:hAnsi="Verdana" w:cs="Times New Roman"/>
          <w:color w:val="auto"/>
          <w:lang w:val="en-AU"/>
        </w:rPr>
        <w:t xml:space="preserve">In the case of local government councils, some indicators of control by the </w:t>
      </w:r>
      <w:r w:rsidR="00D20F4F">
        <w:rPr>
          <w:rFonts w:ascii="Verdana" w:hAnsi="Verdana" w:cs="Times New Roman"/>
          <w:color w:val="auto"/>
          <w:lang w:val="en-AU"/>
        </w:rPr>
        <w:t>m</w:t>
      </w:r>
      <w:r w:rsidRPr="00375DC0">
        <w:rPr>
          <w:rFonts w:ascii="Verdana" w:hAnsi="Verdana" w:cs="Times New Roman"/>
          <w:color w:val="auto"/>
          <w:lang w:val="en-AU"/>
        </w:rPr>
        <w:t xml:space="preserve">inister would seem to include operations constrained by the requirements of the relevant Act, reliant on some funding from the State Government, </w:t>
      </w:r>
      <w:r w:rsidR="00D20F4F">
        <w:rPr>
          <w:rFonts w:ascii="Verdana" w:hAnsi="Verdana" w:cs="Times New Roman"/>
          <w:color w:val="auto"/>
          <w:lang w:val="en-AU"/>
        </w:rPr>
        <w:t xml:space="preserve">and the </w:t>
      </w:r>
      <w:r w:rsidRPr="00375DC0">
        <w:rPr>
          <w:rFonts w:ascii="Verdana" w:hAnsi="Verdana" w:cs="Times New Roman"/>
          <w:color w:val="auto"/>
          <w:lang w:val="en-AU"/>
        </w:rPr>
        <w:t>possibility of dismissal of councillors</w:t>
      </w:r>
      <w:r w:rsidR="00A42F50">
        <w:rPr>
          <w:rFonts w:ascii="Verdana" w:hAnsi="Verdana" w:cs="Times New Roman"/>
          <w:color w:val="auto"/>
          <w:lang w:val="en-AU"/>
        </w:rPr>
        <w:t xml:space="preserve">. </w:t>
      </w:r>
      <w:r w:rsidRPr="00375DC0">
        <w:rPr>
          <w:rFonts w:ascii="Verdana" w:hAnsi="Verdana" w:cs="Times New Roman"/>
          <w:color w:val="auto"/>
          <w:lang w:val="en-AU"/>
        </w:rPr>
        <w:t xml:space="preserve">On the other hand, the facts above indicate that the </w:t>
      </w:r>
      <w:r w:rsidR="00D20F4F">
        <w:rPr>
          <w:rFonts w:ascii="Verdana" w:hAnsi="Verdana" w:cs="Times New Roman"/>
          <w:color w:val="auto"/>
          <w:lang w:val="en-AU"/>
        </w:rPr>
        <w:t>m</w:t>
      </w:r>
      <w:r w:rsidRPr="00375DC0">
        <w:rPr>
          <w:rFonts w:ascii="Verdana" w:hAnsi="Verdana" w:cs="Times New Roman"/>
          <w:color w:val="auto"/>
          <w:lang w:val="en-AU"/>
        </w:rPr>
        <w:t xml:space="preserve">inister cannot overturn a lawfully made decision of a council and that the </w:t>
      </w:r>
      <w:r w:rsidR="00D20F4F">
        <w:rPr>
          <w:rFonts w:ascii="Verdana" w:hAnsi="Verdana" w:cs="Times New Roman"/>
          <w:color w:val="auto"/>
          <w:lang w:val="en-AU"/>
        </w:rPr>
        <w:t>m</w:t>
      </w:r>
      <w:r w:rsidRPr="00375DC0">
        <w:rPr>
          <w:rFonts w:ascii="Verdana" w:hAnsi="Verdana" w:cs="Times New Roman"/>
          <w:color w:val="auto"/>
          <w:lang w:val="en-AU"/>
        </w:rPr>
        <w:t>inister can only recommend dismissal of councillors, and that dismissal is only available under exceptional circumstances (e.g., where councillors have committed some fraud or malfeasance)</w:t>
      </w:r>
      <w:r w:rsidR="00A42F50">
        <w:rPr>
          <w:rFonts w:ascii="Verdana" w:hAnsi="Verdana" w:cs="Times New Roman"/>
          <w:color w:val="auto"/>
          <w:lang w:val="en-AU"/>
        </w:rPr>
        <w:t xml:space="preserve">. </w:t>
      </w:r>
      <w:r w:rsidRPr="00375DC0">
        <w:rPr>
          <w:rFonts w:ascii="Verdana" w:hAnsi="Verdana" w:cs="Times New Roman"/>
          <w:color w:val="auto"/>
          <w:lang w:val="en-AU"/>
        </w:rPr>
        <w:t xml:space="preserve">In addition, the appointment of an </w:t>
      </w:r>
      <w:r w:rsidR="00D20F4F">
        <w:rPr>
          <w:rFonts w:ascii="Verdana" w:hAnsi="Verdana" w:cs="Times New Roman"/>
          <w:color w:val="auto"/>
          <w:lang w:val="en-AU"/>
        </w:rPr>
        <w:t>a</w:t>
      </w:r>
      <w:r w:rsidRPr="00375DC0">
        <w:rPr>
          <w:rFonts w:ascii="Verdana" w:hAnsi="Verdana" w:cs="Times New Roman"/>
          <w:color w:val="auto"/>
          <w:lang w:val="en-AU"/>
        </w:rPr>
        <w:t>dministrator is clearly temporary and it is the ratepayers who appoint the replacement council</w:t>
      </w:r>
      <w:r w:rsidR="00A42F50">
        <w:rPr>
          <w:rFonts w:ascii="Verdana" w:hAnsi="Verdana" w:cs="Times New Roman"/>
          <w:color w:val="auto"/>
          <w:lang w:val="en-AU"/>
        </w:rPr>
        <w:t xml:space="preserve">. </w:t>
      </w:r>
      <w:r w:rsidRPr="00375DC0">
        <w:rPr>
          <w:rFonts w:ascii="Verdana" w:hAnsi="Verdana" w:cs="Times New Roman"/>
          <w:color w:val="auto"/>
          <w:lang w:val="en-AU"/>
        </w:rPr>
        <w:t>These rights to dismiss a council fit the definition of ‘protective rights’ as they are designed to only operate in situations where there has been substantive misbehaviour by the councillors</w:t>
      </w:r>
      <w:r w:rsidR="00D20F4F">
        <w:rPr>
          <w:rFonts w:ascii="Verdana" w:hAnsi="Verdana" w:cs="Times New Roman"/>
          <w:color w:val="auto"/>
          <w:lang w:val="en-AU"/>
        </w:rPr>
        <w:t>; that is,</w:t>
      </w:r>
      <w:r w:rsidRPr="00375DC0">
        <w:rPr>
          <w:rFonts w:ascii="Verdana" w:hAnsi="Verdana" w:cs="Times New Roman"/>
          <w:color w:val="auto"/>
          <w:lang w:val="en-AU"/>
        </w:rPr>
        <w:t xml:space="preserve"> they are designed to protect rate payers (para. IG15). On the basis of this analysis, it is concluded that the government does not control the local councils because it does not satisfy the power criterion</w:t>
      </w:r>
      <w:r w:rsidR="00A42F50">
        <w:rPr>
          <w:rFonts w:ascii="Verdana" w:hAnsi="Verdana" w:cs="Times New Roman"/>
          <w:color w:val="auto"/>
          <w:lang w:val="en-AU"/>
        </w:rPr>
        <w:t xml:space="preserve">. </w:t>
      </w:r>
      <w:r w:rsidRPr="00375DC0">
        <w:rPr>
          <w:rFonts w:ascii="Verdana" w:hAnsi="Verdana" w:cs="Times New Roman"/>
          <w:color w:val="auto"/>
          <w:lang w:val="en-AU"/>
        </w:rPr>
        <w:t xml:space="preserve">If power existed, it is likely that the government could use that power to influence the returns from the </w:t>
      </w:r>
      <w:r w:rsidR="00D20F4F">
        <w:rPr>
          <w:rFonts w:ascii="Verdana" w:hAnsi="Verdana" w:cs="Times New Roman"/>
          <w:color w:val="auto"/>
          <w:lang w:val="en-AU"/>
        </w:rPr>
        <w:t>c</w:t>
      </w:r>
      <w:r w:rsidRPr="00375DC0">
        <w:rPr>
          <w:rFonts w:ascii="Verdana" w:hAnsi="Verdana" w:cs="Times New Roman"/>
          <w:color w:val="auto"/>
          <w:lang w:val="en-AU"/>
        </w:rPr>
        <w:t xml:space="preserve">ouncils (i.e., the ability of </w:t>
      </w:r>
      <w:r w:rsidR="00D20F4F">
        <w:rPr>
          <w:rFonts w:ascii="Verdana" w:hAnsi="Verdana" w:cs="Times New Roman"/>
          <w:color w:val="auto"/>
          <w:lang w:val="en-AU"/>
        </w:rPr>
        <w:t>c</w:t>
      </w:r>
      <w:r w:rsidRPr="00375DC0">
        <w:rPr>
          <w:rFonts w:ascii="Verdana" w:hAnsi="Verdana" w:cs="Times New Roman"/>
          <w:color w:val="auto"/>
          <w:lang w:val="en-AU"/>
        </w:rPr>
        <w:t>ouncils to deliver services) but these questions are hypothetical given that power has not been established.</w:t>
      </w:r>
    </w:p>
    <w:p w:rsidR="009E4662" w:rsidRPr="00375DC0" w:rsidRDefault="009E4662" w:rsidP="0057182A">
      <w:pPr>
        <w:pStyle w:val="EOCtext"/>
        <w:rPr>
          <w:rFonts w:ascii="Verdana" w:hAnsi="Verdana" w:cs="Times New Roman"/>
          <w:color w:val="auto"/>
          <w:lang w:val="en-AU"/>
        </w:rPr>
      </w:pPr>
    </w:p>
    <w:p w:rsidR="009428EA" w:rsidRPr="00375DC0" w:rsidRDefault="00D20F4F" w:rsidP="0057182A">
      <w:pPr>
        <w:pStyle w:val="EOCtext"/>
        <w:spacing w:line="240" w:lineRule="auto"/>
        <w:rPr>
          <w:rFonts w:ascii="Verdana" w:hAnsi="Verdana" w:cs="Times New Roman"/>
          <w:color w:val="auto"/>
          <w:lang w:val="en-AU"/>
        </w:rPr>
      </w:pPr>
      <w:r>
        <w:rPr>
          <w:rFonts w:ascii="Verdana" w:hAnsi="Verdana" w:cs="Times New Roman"/>
          <w:color w:val="auto"/>
          <w:lang w:val="en-AU"/>
        </w:rPr>
        <w:br w:type="page"/>
      </w:r>
      <w:r w:rsidR="009E4662" w:rsidRPr="00375DC0">
        <w:rPr>
          <w:rFonts w:ascii="Verdana" w:hAnsi="Verdana" w:cs="Times New Roman"/>
          <w:color w:val="auto"/>
          <w:lang w:val="en-AU"/>
        </w:rPr>
        <w:lastRenderedPageBreak/>
        <w:t>A good student should have seen the guidance provided in Example IG3 of Appendix E</w:t>
      </w:r>
      <w:r w:rsidR="00A42F50">
        <w:rPr>
          <w:rFonts w:ascii="Verdana" w:hAnsi="Verdana" w:cs="Times New Roman"/>
          <w:color w:val="auto"/>
          <w:lang w:val="en-AU"/>
        </w:rPr>
        <w:t xml:space="preserve">. </w:t>
      </w:r>
      <w:r w:rsidR="009E4662" w:rsidRPr="00375DC0">
        <w:rPr>
          <w:rFonts w:ascii="Verdana" w:hAnsi="Verdana" w:cs="Times New Roman"/>
          <w:color w:val="auto"/>
          <w:lang w:val="en-AU"/>
        </w:rPr>
        <w:t xml:space="preserve">A long analysis is provided in that </w:t>
      </w:r>
      <w:r>
        <w:rPr>
          <w:rFonts w:ascii="Verdana" w:hAnsi="Verdana" w:cs="Times New Roman"/>
          <w:color w:val="auto"/>
          <w:lang w:val="en-AU"/>
        </w:rPr>
        <w:t>e</w:t>
      </w:r>
      <w:r w:rsidR="009E4662" w:rsidRPr="00375DC0">
        <w:rPr>
          <w:rFonts w:ascii="Verdana" w:hAnsi="Verdana" w:cs="Times New Roman"/>
          <w:color w:val="auto"/>
          <w:lang w:val="en-AU"/>
        </w:rPr>
        <w:t>xample which could have been used to assist in answering this question</w:t>
      </w:r>
      <w:r w:rsidR="00587CC5">
        <w:rPr>
          <w:rFonts w:ascii="Verdana" w:hAnsi="Verdana" w:cs="Times New Roman"/>
          <w:color w:val="auto"/>
          <w:lang w:val="en-AU"/>
        </w:rPr>
        <w:t>.</w:t>
      </w:r>
    </w:p>
    <w:p w:rsidR="009428EA" w:rsidRPr="00375DC0" w:rsidRDefault="009428EA" w:rsidP="0057182A">
      <w:pPr>
        <w:pStyle w:val="EOCtext"/>
        <w:spacing w:line="240" w:lineRule="auto"/>
        <w:rPr>
          <w:rFonts w:ascii="Verdana" w:hAnsi="Verdana" w:cs="Times New Roman"/>
          <w:color w:val="auto"/>
          <w:lang w:val="en-AU"/>
        </w:rPr>
      </w:pPr>
    </w:p>
    <w:p w:rsidR="009428EA" w:rsidRPr="004F0AA8" w:rsidRDefault="009428EA" w:rsidP="0057182A">
      <w:pPr>
        <w:ind w:firstLine="0"/>
        <w:jc w:val="left"/>
        <w:rPr>
          <w:rFonts w:ascii="Verdana" w:hAnsi="Verdana"/>
          <w:b/>
          <w:i/>
          <w:sz w:val="20"/>
        </w:rPr>
      </w:pPr>
      <w:r w:rsidRPr="004F0AA8">
        <w:rPr>
          <w:rFonts w:ascii="Verdana" w:hAnsi="Verdana"/>
          <w:b/>
          <w:i/>
          <w:sz w:val="20"/>
        </w:rPr>
        <w:t xml:space="preserve">Q1.15 Investment </w:t>
      </w:r>
      <w:r w:rsidR="0029314E">
        <w:rPr>
          <w:rFonts w:ascii="Verdana" w:hAnsi="Verdana"/>
          <w:b/>
          <w:i/>
          <w:sz w:val="20"/>
        </w:rPr>
        <w:t>e</w:t>
      </w:r>
      <w:r w:rsidRPr="004F0AA8">
        <w:rPr>
          <w:rFonts w:ascii="Verdana" w:hAnsi="Verdana"/>
          <w:b/>
          <w:i/>
          <w:sz w:val="20"/>
        </w:rPr>
        <w:t xml:space="preserve">ntities </w:t>
      </w:r>
      <w:r w:rsidRPr="00A21D35">
        <w:rPr>
          <w:rFonts w:ascii="Verdana" w:hAnsi="Verdana"/>
          <w:b/>
          <w:i/>
          <w:sz w:val="20"/>
        </w:rPr>
        <w:t>(Section 1.7.6)</w:t>
      </w:r>
    </w:p>
    <w:p w:rsidR="009428EA" w:rsidRPr="00375DC0" w:rsidRDefault="009428EA" w:rsidP="0057182A">
      <w:pPr>
        <w:jc w:val="left"/>
        <w:rPr>
          <w:rFonts w:ascii="Verdana" w:hAnsi="Verdana"/>
          <w:sz w:val="20"/>
        </w:rPr>
      </w:pPr>
    </w:p>
    <w:p w:rsidR="009428EA" w:rsidRPr="003425F4" w:rsidRDefault="009428EA" w:rsidP="004F0AA8">
      <w:pPr>
        <w:suppressAutoHyphens/>
        <w:autoSpaceDE w:val="0"/>
        <w:autoSpaceDN w:val="0"/>
        <w:adjustRightInd w:val="0"/>
        <w:spacing w:before="57"/>
        <w:ind w:firstLine="0"/>
        <w:jc w:val="left"/>
        <w:textAlignment w:val="center"/>
        <w:rPr>
          <w:rFonts w:ascii="Verdana" w:hAnsi="Verdana"/>
          <w:snapToGrid/>
          <w:sz w:val="20"/>
          <w:lang w:val="en-US"/>
        </w:rPr>
      </w:pPr>
      <w:r w:rsidRPr="003425F4">
        <w:rPr>
          <w:rFonts w:ascii="Verdana" w:hAnsi="Verdana"/>
          <w:snapToGrid/>
          <w:sz w:val="20"/>
          <w:lang w:val="en-US"/>
        </w:rPr>
        <w:t>An investment entity is characteri</w:t>
      </w:r>
      <w:r w:rsidR="0029314E" w:rsidRPr="003425F4">
        <w:rPr>
          <w:rFonts w:ascii="Verdana" w:hAnsi="Verdana"/>
          <w:snapToGrid/>
          <w:sz w:val="20"/>
          <w:lang w:val="en-US"/>
        </w:rPr>
        <w:t>s</w:t>
      </w:r>
      <w:r w:rsidRPr="003425F4">
        <w:rPr>
          <w:rFonts w:ascii="Verdana" w:hAnsi="Verdana"/>
          <w:snapToGrid/>
          <w:sz w:val="20"/>
          <w:lang w:val="en-US"/>
        </w:rPr>
        <w:t>ed by having a business purpose which is only to invest for capital gains or investment income (such as interest or dividend revenue) or both (AASB 10, paragraph 85B)</w:t>
      </w:r>
      <w:r w:rsidR="00A42F50" w:rsidRPr="003425F4">
        <w:rPr>
          <w:rFonts w:ascii="Verdana" w:hAnsi="Verdana"/>
          <w:snapToGrid/>
          <w:sz w:val="20"/>
          <w:lang w:val="en-US"/>
        </w:rPr>
        <w:t xml:space="preserve">. </w:t>
      </w:r>
      <w:r w:rsidRPr="003425F4">
        <w:rPr>
          <w:rFonts w:ascii="Verdana" w:hAnsi="Verdana"/>
          <w:snapToGrid/>
          <w:sz w:val="20"/>
          <w:lang w:val="en-US"/>
        </w:rPr>
        <w:t>An investment entity is defined in paragraph 27 and Appendix A of AASB 10 as an entity that:</w:t>
      </w:r>
    </w:p>
    <w:p w:rsidR="009428EA" w:rsidRPr="003425F4" w:rsidRDefault="009428EA" w:rsidP="004F0AA8">
      <w:pPr>
        <w:suppressAutoHyphens/>
        <w:autoSpaceDE w:val="0"/>
        <w:autoSpaceDN w:val="0"/>
        <w:adjustRightInd w:val="0"/>
        <w:spacing w:before="57"/>
        <w:ind w:firstLine="0"/>
        <w:jc w:val="left"/>
        <w:textAlignment w:val="center"/>
        <w:rPr>
          <w:rFonts w:ascii="Verdana" w:hAnsi="Verdana"/>
          <w:snapToGrid/>
          <w:sz w:val="20"/>
          <w:lang w:val="en-US"/>
        </w:rPr>
      </w:pPr>
    </w:p>
    <w:p w:rsidR="009428EA" w:rsidRPr="003425F4" w:rsidRDefault="009428EA" w:rsidP="000D0F44">
      <w:pPr>
        <w:widowControl/>
        <w:numPr>
          <w:ilvl w:val="0"/>
          <w:numId w:val="63"/>
        </w:numPr>
        <w:suppressAutoHyphens/>
        <w:autoSpaceDE w:val="0"/>
        <w:autoSpaceDN w:val="0"/>
        <w:adjustRightInd w:val="0"/>
        <w:spacing w:before="57"/>
        <w:ind w:left="1134"/>
        <w:jc w:val="left"/>
        <w:textAlignment w:val="center"/>
        <w:rPr>
          <w:rFonts w:ascii="Verdana" w:hAnsi="Verdana"/>
          <w:i/>
          <w:snapToGrid/>
          <w:sz w:val="20"/>
          <w:lang w:val="en-US"/>
        </w:rPr>
      </w:pPr>
      <w:r w:rsidRPr="003425F4">
        <w:rPr>
          <w:rFonts w:ascii="Verdana" w:hAnsi="Verdana"/>
          <w:i/>
          <w:snapToGrid/>
          <w:sz w:val="20"/>
          <w:lang w:val="en-US"/>
        </w:rPr>
        <w:t>Obtains funds from one or more investors for the purpose of providing those investor(s) with investment management services;</w:t>
      </w:r>
    </w:p>
    <w:p w:rsidR="009428EA" w:rsidRPr="003425F4" w:rsidRDefault="009428EA" w:rsidP="000D0F44">
      <w:pPr>
        <w:widowControl/>
        <w:numPr>
          <w:ilvl w:val="0"/>
          <w:numId w:val="63"/>
        </w:numPr>
        <w:suppressAutoHyphens/>
        <w:autoSpaceDE w:val="0"/>
        <w:autoSpaceDN w:val="0"/>
        <w:adjustRightInd w:val="0"/>
        <w:spacing w:before="57"/>
        <w:ind w:left="1134"/>
        <w:jc w:val="left"/>
        <w:textAlignment w:val="center"/>
        <w:rPr>
          <w:rFonts w:ascii="Verdana" w:hAnsi="Verdana"/>
          <w:i/>
          <w:snapToGrid/>
          <w:sz w:val="20"/>
          <w:lang w:val="en-US"/>
        </w:rPr>
      </w:pPr>
      <w:r w:rsidRPr="003425F4">
        <w:rPr>
          <w:rFonts w:ascii="Verdana" w:hAnsi="Verdana"/>
          <w:i/>
          <w:snapToGrid/>
          <w:sz w:val="20"/>
          <w:lang w:val="en-US"/>
        </w:rPr>
        <w:t>Commits to its investor(s) that its business purpose is to invest funds solely for returns from capital appreciation, investment income, or both; and</w:t>
      </w:r>
    </w:p>
    <w:p w:rsidR="009428EA" w:rsidRPr="003425F4" w:rsidRDefault="009428EA" w:rsidP="000D0F44">
      <w:pPr>
        <w:widowControl/>
        <w:numPr>
          <w:ilvl w:val="0"/>
          <w:numId w:val="63"/>
        </w:numPr>
        <w:suppressAutoHyphens/>
        <w:autoSpaceDE w:val="0"/>
        <w:autoSpaceDN w:val="0"/>
        <w:adjustRightInd w:val="0"/>
        <w:spacing w:before="57"/>
        <w:ind w:left="1134"/>
        <w:jc w:val="left"/>
        <w:textAlignment w:val="center"/>
        <w:rPr>
          <w:rFonts w:ascii="Verdana" w:hAnsi="Verdana"/>
          <w:snapToGrid/>
          <w:sz w:val="20"/>
          <w:lang w:val="en-US"/>
        </w:rPr>
      </w:pPr>
      <w:r w:rsidRPr="003425F4">
        <w:rPr>
          <w:rFonts w:ascii="Verdana" w:hAnsi="Verdana"/>
          <w:i/>
          <w:snapToGrid/>
          <w:sz w:val="20"/>
          <w:lang w:val="en-US"/>
        </w:rPr>
        <w:t>Measures and evaluates the performance of substantially all of its investments on a fair value basis.</w:t>
      </w:r>
    </w:p>
    <w:p w:rsidR="009428EA" w:rsidRPr="003425F4" w:rsidRDefault="009428EA" w:rsidP="004F0AA8">
      <w:pPr>
        <w:widowControl/>
        <w:ind w:firstLine="0"/>
        <w:jc w:val="left"/>
        <w:rPr>
          <w:rFonts w:ascii="Verdana" w:eastAsia="Calibri" w:hAnsi="Verdana"/>
          <w:snapToGrid/>
          <w:sz w:val="20"/>
          <w:lang w:val="en-US"/>
        </w:rPr>
      </w:pPr>
    </w:p>
    <w:p w:rsidR="009428EA" w:rsidRPr="00375DC0" w:rsidRDefault="009428EA" w:rsidP="004F0AA8">
      <w:pPr>
        <w:widowControl/>
        <w:ind w:firstLine="0"/>
        <w:jc w:val="left"/>
        <w:rPr>
          <w:rFonts w:ascii="Verdana" w:eastAsia="Calibri" w:hAnsi="Verdana"/>
          <w:snapToGrid/>
          <w:sz w:val="20"/>
          <w:lang w:val="en-US"/>
        </w:rPr>
      </w:pPr>
      <w:r w:rsidRPr="003425F4">
        <w:rPr>
          <w:rFonts w:ascii="Verdana" w:eastAsia="Calibri" w:hAnsi="Verdana"/>
          <w:snapToGrid/>
          <w:sz w:val="20"/>
          <w:lang w:val="en-US"/>
        </w:rPr>
        <w:t>Paragraph 31 of AASB 10 states that a parent entity that determines that it is an investment entity does not consolidate its subsidiaries (or apply the requirements of AASB 3 when those subsidiaries were purchased) but rather it must measure its investment in those subsidiaries at fair value through profit or loss following the requirements of AASB 9</w:t>
      </w:r>
      <w:r w:rsidR="00A42F50" w:rsidRPr="003425F4">
        <w:rPr>
          <w:rFonts w:ascii="Verdana" w:eastAsia="Calibri" w:hAnsi="Verdana"/>
          <w:snapToGrid/>
          <w:sz w:val="20"/>
          <w:lang w:val="en-US"/>
        </w:rPr>
        <w:t xml:space="preserve">. </w:t>
      </w:r>
      <w:r w:rsidRPr="003425F4">
        <w:rPr>
          <w:rFonts w:ascii="Verdana" w:eastAsia="Calibri" w:hAnsi="Verdana"/>
          <w:snapToGrid/>
          <w:sz w:val="20"/>
          <w:lang w:val="en-US"/>
        </w:rPr>
        <w:t>One exception to paragraph 31 is contained in paragraph 32 which requires the investment entity parent to consolidate those subsidiaries which provide services to the investment entity’s investment activities.</w:t>
      </w:r>
    </w:p>
    <w:p w:rsidR="009428EA" w:rsidRPr="00375DC0" w:rsidRDefault="009428EA" w:rsidP="004F0AA8">
      <w:pPr>
        <w:widowControl/>
        <w:ind w:firstLine="0"/>
        <w:jc w:val="left"/>
        <w:rPr>
          <w:rFonts w:ascii="Verdana" w:eastAsia="Calibri" w:hAnsi="Verdana"/>
          <w:snapToGrid/>
          <w:sz w:val="20"/>
          <w:lang w:val="en-US"/>
        </w:rPr>
      </w:pPr>
    </w:p>
    <w:p w:rsidR="009428EA" w:rsidRPr="00375DC0" w:rsidRDefault="009428EA" w:rsidP="004F0AA8">
      <w:pPr>
        <w:widowControl/>
        <w:ind w:firstLine="0"/>
        <w:jc w:val="left"/>
        <w:rPr>
          <w:rFonts w:ascii="Verdana" w:eastAsia="Calibri" w:hAnsi="Verdana"/>
          <w:snapToGrid/>
          <w:sz w:val="20"/>
          <w:lang w:val="en-US"/>
        </w:rPr>
      </w:pPr>
      <w:r w:rsidRPr="00375DC0">
        <w:rPr>
          <w:rFonts w:ascii="Verdana" w:eastAsia="Calibri" w:hAnsi="Verdana"/>
          <w:snapToGrid/>
          <w:sz w:val="20"/>
          <w:lang w:val="en-US"/>
        </w:rPr>
        <w:t>Based on this information</w:t>
      </w:r>
      <w:r w:rsidR="0029314E">
        <w:rPr>
          <w:rFonts w:ascii="Verdana" w:eastAsia="Calibri" w:hAnsi="Verdana"/>
          <w:snapToGrid/>
          <w:sz w:val="20"/>
          <w:lang w:val="en-US"/>
        </w:rPr>
        <w:t>,</w:t>
      </w:r>
      <w:r w:rsidRPr="00375DC0">
        <w:rPr>
          <w:rFonts w:ascii="Verdana" w:eastAsia="Calibri" w:hAnsi="Verdana"/>
          <w:snapToGrid/>
          <w:sz w:val="20"/>
          <w:lang w:val="en-US"/>
        </w:rPr>
        <w:t xml:space="preserve"> Reassure cannot be an investment entity because its business purpose is not solely to invest for capital gains or investment income (it is an insurance business)</w:t>
      </w:r>
      <w:r w:rsidR="00A42F50">
        <w:rPr>
          <w:rFonts w:ascii="Verdana" w:eastAsia="Calibri" w:hAnsi="Verdana"/>
          <w:snapToGrid/>
          <w:sz w:val="20"/>
          <w:lang w:val="en-US"/>
        </w:rPr>
        <w:t xml:space="preserve">. </w:t>
      </w:r>
      <w:r w:rsidRPr="00375DC0">
        <w:rPr>
          <w:rFonts w:ascii="Verdana" w:eastAsia="Calibri" w:hAnsi="Verdana"/>
          <w:snapToGrid/>
          <w:sz w:val="20"/>
          <w:lang w:val="en-US"/>
        </w:rPr>
        <w:t>However, FI is an investment entity because its sole purpose is to provide investment management services (that generate capital growth and investment income in the form of interest revenue and dividend revenue) and it measures its funds using fair value (and that information is used for performance measurement).</w:t>
      </w:r>
    </w:p>
    <w:p w:rsidR="009428EA" w:rsidRPr="00375DC0" w:rsidRDefault="009428EA" w:rsidP="004F0AA8">
      <w:pPr>
        <w:widowControl/>
        <w:ind w:firstLine="0"/>
        <w:jc w:val="left"/>
        <w:rPr>
          <w:rFonts w:ascii="Verdana" w:eastAsia="Calibri" w:hAnsi="Verdana"/>
          <w:snapToGrid/>
          <w:sz w:val="20"/>
          <w:lang w:val="en-US"/>
        </w:rPr>
      </w:pPr>
    </w:p>
    <w:p w:rsidR="002E290D" w:rsidRDefault="009428EA" w:rsidP="004F0AA8">
      <w:pPr>
        <w:widowControl/>
        <w:ind w:firstLine="0"/>
        <w:jc w:val="left"/>
        <w:rPr>
          <w:rFonts w:ascii="Verdana" w:eastAsia="Calibri" w:hAnsi="Verdana"/>
          <w:snapToGrid/>
          <w:sz w:val="20"/>
          <w:lang w:val="en-US"/>
        </w:rPr>
      </w:pPr>
      <w:r w:rsidRPr="00375DC0">
        <w:rPr>
          <w:rFonts w:ascii="Verdana" w:eastAsia="Calibri" w:hAnsi="Verdana"/>
          <w:snapToGrid/>
          <w:sz w:val="20"/>
          <w:lang w:val="en-US"/>
        </w:rPr>
        <w:t xml:space="preserve">Consequently, in FI’s own financial statements, it reports its controlled investees at fair value through profit or loss and does </w:t>
      </w:r>
      <w:r w:rsidRPr="004F0AA8">
        <w:rPr>
          <w:rFonts w:ascii="Verdana" w:eastAsia="Calibri" w:hAnsi="Verdana"/>
          <w:i/>
          <w:snapToGrid/>
          <w:sz w:val="20"/>
          <w:lang w:val="en-US"/>
        </w:rPr>
        <w:t>not</w:t>
      </w:r>
      <w:r w:rsidRPr="00375DC0">
        <w:rPr>
          <w:rFonts w:ascii="Verdana" w:eastAsia="Calibri" w:hAnsi="Verdana"/>
          <w:snapToGrid/>
          <w:sz w:val="20"/>
          <w:lang w:val="en-US"/>
        </w:rPr>
        <w:t xml:space="preserve"> consolidate its financial statements with those of Funds A, B and C. However, Parent’s consolidated financial statements will consolidate all of its controlled investees, including FI and F</w:t>
      </w:r>
      <w:r w:rsidR="0029314E">
        <w:rPr>
          <w:rFonts w:ascii="Verdana" w:eastAsia="Calibri" w:hAnsi="Verdana"/>
          <w:snapToGrid/>
          <w:sz w:val="20"/>
          <w:lang w:val="en-US"/>
        </w:rPr>
        <w:t>I</w:t>
      </w:r>
      <w:r w:rsidRPr="00375DC0">
        <w:rPr>
          <w:rFonts w:ascii="Verdana" w:eastAsia="Calibri" w:hAnsi="Verdana"/>
          <w:snapToGrid/>
          <w:sz w:val="20"/>
          <w:lang w:val="en-US"/>
        </w:rPr>
        <w:t>’s Funds A, B and C.</w:t>
      </w:r>
    </w:p>
    <w:p w:rsidR="003425F4" w:rsidRDefault="003425F4" w:rsidP="004F0AA8">
      <w:pPr>
        <w:widowControl/>
        <w:ind w:firstLine="0"/>
        <w:jc w:val="left"/>
        <w:rPr>
          <w:rFonts w:ascii="Verdana" w:eastAsia="Calibri" w:hAnsi="Verdana"/>
          <w:snapToGrid/>
          <w:sz w:val="20"/>
          <w:lang w:val="en-US"/>
        </w:rPr>
      </w:pPr>
    </w:p>
    <w:p w:rsidR="003425F4" w:rsidRPr="003B5293" w:rsidRDefault="003425F4" w:rsidP="003425F4">
      <w:pPr>
        <w:widowControl/>
        <w:shd w:val="clear" w:color="auto" w:fill="FFFFFF"/>
        <w:ind w:firstLine="0"/>
        <w:jc w:val="left"/>
        <w:rPr>
          <w:rFonts w:ascii="Verdana" w:hAnsi="Verdana" w:cs="Arial"/>
          <w:i/>
          <w:snapToGrid/>
          <w:color w:val="222222"/>
          <w:sz w:val="20"/>
          <w:lang w:eastAsia="en-AU"/>
        </w:rPr>
      </w:pPr>
      <w:r w:rsidRPr="003B5293">
        <w:rPr>
          <w:rFonts w:ascii="Verdana" w:hAnsi="Verdana" w:cs="Arial"/>
          <w:i/>
          <w:snapToGrid/>
          <w:color w:val="222222"/>
          <w:sz w:val="20"/>
          <w:lang w:eastAsia="en-AU"/>
        </w:rPr>
        <w:t>Copyright notice for AASB material used in this chapter:</w:t>
      </w:r>
    </w:p>
    <w:p w:rsidR="003425F4" w:rsidRPr="003B5293" w:rsidRDefault="003425F4" w:rsidP="003425F4">
      <w:pPr>
        <w:widowControl/>
        <w:shd w:val="clear" w:color="auto" w:fill="FFFFFF"/>
        <w:ind w:firstLine="0"/>
        <w:jc w:val="left"/>
        <w:rPr>
          <w:rFonts w:ascii="Verdana" w:hAnsi="Verdana" w:cs="Arial"/>
          <w:i/>
          <w:snapToGrid/>
          <w:color w:val="222222"/>
          <w:sz w:val="20"/>
          <w:lang w:eastAsia="en-AU"/>
        </w:rPr>
      </w:pPr>
      <w:r w:rsidRPr="003B5293">
        <w:rPr>
          <w:rFonts w:ascii="Verdana" w:hAnsi="Verdana" w:cs="Arial"/>
          <w:i/>
          <w:snapToGrid/>
          <w:color w:val="222222"/>
          <w:sz w:val="20"/>
          <w:lang w:eastAsia="en-AU"/>
        </w:rPr>
        <w:t>© Commonwealth of Australia (2016).</w:t>
      </w:r>
    </w:p>
    <w:p w:rsidR="003425F4" w:rsidRPr="003B5293" w:rsidRDefault="003425F4" w:rsidP="003425F4">
      <w:pPr>
        <w:widowControl/>
        <w:shd w:val="clear" w:color="auto" w:fill="FFFFFF"/>
        <w:ind w:firstLine="0"/>
        <w:jc w:val="left"/>
        <w:rPr>
          <w:rFonts w:ascii="Verdana" w:hAnsi="Verdana" w:cs="Arial"/>
          <w:i/>
          <w:snapToGrid/>
          <w:color w:val="222222"/>
          <w:sz w:val="20"/>
          <w:lang w:eastAsia="en-AU"/>
        </w:rPr>
      </w:pPr>
      <w:r w:rsidRPr="003B5293">
        <w:rPr>
          <w:rFonts w:ascii="Verdana" w:hAnsi="Verdana" w:cs="Arial"/>
          <w:i/>
          <w:snapToGrid/>
          <w:color w:val="222222"/>
          <w:sz w:val="20"/>
          <w:lang w:eastAsia="en-AU"/>
        </w:rPr>
        <w:t>All legislation herein is reproduced by permission but does not purport to be the official or authorised version. It is subject to Commonwealth of Australia copyright. The Copyright Act 1968 permits certain reproduction and publication of Commonwealth legislation. In particular, s. 182A of the Act enables a complete copy to be made by or on behalf of a particular person. For reproduction or publication beyond that permitted by the Act, permission should be sought in writing from the Commonwealth available from the Australian Accounting Standards Board. Requests in the first instance should be addressed to the Administration Director, Australian Accounting Standards Board, PO Box 204, Collins Street West, Melbourne, Victoria 8007. </w:t>
      </w:r>
    </w:p>
    <w:p w:rsidR="003425F4" w:rsidRPr="003425F4" w:rsidRDefault="003425F4" w:rsidP="004F0AA8">
      <w:pPr>
        <w:widowControl/>
        <w:ind w:firstLine="0"/>
        <w:jc w:val="left"/>
        <w:rPr>
          <w:rFonts w:ascii="Verdana" w:hAnsi="Verdana"/>
          <w:b/>
          <w:sz w:val="20"/>
        </w:rPr>
      </w:pPr>
      <w:bookmarkStart w:id="1" w:name="_GoBack"/>
      <w:bookmarkEnd w:id="1"/>
    </w:p>
    <w:sectPr w:rsidR="003425F4" w:rsidRPr="003425F4" w:rsidSect="00EB7F05">
      <w:headerReference w:type="default" r:id="rId31"/>
      <w:footerReference w:type="even" r:id="rId32"/>
      <w:footerReference w:type="default" r:id="rId33"/>
      <w:headerReference w:type="first" r:id="rId34"/>
      <w:footerReference w:type="first" r:id="rId35"/>
      <w:pgSz w:w="11906" w:h="16838" w:code="9"/>
      <w:pgMar w:top="1440" w:right="1797" w:bottom="1440" w:left="1797"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F28" w:rsidRDefault="00A92F28">
      <w:r>
        <w:separator/>
      </w:r>
    </w:p>
  </w:endnote>
  <w:endnote w:type="continuationSeparator" w:id="0">
    <w:p w:rsidR="00A92F28" w:rsidRDefault="00A9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ewCaledonia-Italic">
    <w:altName w:val="New Caledon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82A" w:rsidRPr="003B2890" w:rsidRDefault="0057182A" w:rsidP="00124642">
    <w:pPr>
      <w:pStyle w:val="Footer"/>
      <w:ind w:firstLine="0"/>
      <w:jc w:val="center"/>
      <w:rPr>
        <w:rFonts w:ascii="Verdana" w:hAnsi="Verdana"/>
        <w:i/>
        <w:sz w:val="16"/>
        <w:szCs w:val="16"/>
      </w:rPr>
    </w:pPr>
    <w:r w:rsidRPr="003B2890">
      <w:rPr>
        <w:rFonts w:ascii="Verdana" w:hAnsi="Verdana"/>
        <w:sz w:val="16"/>
        <w:szCs w:val="16"/>
      </w:rPr>
      <w:t>Copyright © 2017 Pearson Australia (a division of Pearson Australia Group Pty Ltd) 97814886</w:t>
    </w:r>
    <w:r>
      <w:rPr>
        <w:rFonts w:ascii="Verdana" w:hAnsi="Verdana"/>
        <w:sz w:val="16"/>
        <w:szCs w:val="16"/>
      </w:rPr>
      <w:t xml:space="preserve">11520, </w:t>
    </w:r>
    <w:r w:rsidRPr="003B2890">
      <w:rPr>
        <w:rFonts w:ascii="Verdana" w:hAnsi="Verdana"/>
        <w:sz w:val="16"/>
        <w:szCs w:val="16"/>
      </w:rPr>
      <w:t xml:space="preserve">Arthur, </w:t>
    </w:r>
    <w:r w:rsidRPr="003B2890">
      <w:rPr>
        <w:rFonts w:ascii="Verdana" w:hAnsi="Verdana"/>
        <w:i/>
        <w:sz w:val="16"/>
        <w:szCs w:val="16"/>
      </w:rPr>
      <w:t>Accounting for Corporate Combinations and Associations 8e</w:t>
    </w:r>
  </w:p>
  <w:p w:rsidR="0057182A" w:rsidRPr="00133E6E" w:rsidRDefault="0057182A" w:rsidP="00124642">
    <w:pPr>
      <w:pStyle w:val="Footer"/>
      <w:ind w:right="360" w:firstLine="0"/>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82A" w:rsidRPr="00E569C1" w:rsidRDefault="0057182A" w:rsidP="00E569C1">
    <w:pPr>
      <w:tabs>
        <w:tab w:val="center" w:pos="4320"/>
        <w:tab w:val="right" w:pos="8640"/>
      </w:tabs>
      <w:ind w:firstLine="0"/>
      <w:jc w:val="left"/>
      <w:rPr>
        <w:rFonts w:ascii="Verdana" w:hAnsi="Verdana"/>
        <w:sz w:val="16"/>
        <w:szCs w:val="16"/>
        <w:lang w:val="x-none"/>
      </w:rPr>
    </w:pPr>
    <w:r w:rsidRPr="00E569C1">
      <w:rPr>
        <w:rFonts w:ascii="Verdana" w:hAnsi="Verdana"/>
        <w:sz w:val="16"/>
        <w:szCs w:val="16"/>
        <w:lang w:val="x-none"/>
      </w:rPr>
      <w:t>Copyright © 2017 Pearson Australia (a division of Pearson Australia Group Pty Ltd) 9781488611520</w:t>
    </w:r>
  </w:p>
  <w:p w:rsidR="0057182A" w:rsidRPr="00E569C1" w:rsidRDefault="0057182A" w:rsidP="00E569C1">
    <w:pPr>
      <w:tabs>
        <w:tab w:val="center" w:pos="4320"/>
        <w:tab w:val="right" w:pos="8314"/>
      </w:tabs>
      <w:ind w:right="-1" w:firstLine="0"/>
      <w:jc w:val="left"/>
      <w:rPr>
        <w:sz w:val="18"/>
        <w:szCs w:val="18"/>
        <w:lang w:val="x-none"/>
      </w:rPr>
    </w:pPr>
    <w:r w:rsidRPr="00E569C1">
      <w:rPr>
        <w:rFonts w:ascii="Verdana" w:hAnsi="Verdana"/>
        <w:sz w:val="16"/>
        <w:szCs w:val="16"/>
        <w:lang w:val="x-none"/>
      </w:rPr>
      <w:t xml:space="preserve">Arthur, </w:t>
    </w:r>
    <w:r w:rsidRPr="00E569C1">
      <w:rPr>
        <w:rFonts w:ascii="Verdana" w:hAnsi="Verdana"/>
        <w:i/>
        <w:sz w:val="16"/>
        <w:szCs w:val="16"/>
        <w:lang w:val="x-none"/>
      </w:rPr>
      <w:t>Accounting for Corporate Combinations and Associations 8e</w:t>
    </w:r>
    <w:r w:rsidRPr="00E569C1">
      <w:rPr>
        <w:rFonts w:ascii="Verdana" w:hAnsi="Verdana"/>
        <w:i/>
        <w:sz w:val="16"/>
        <w:szCs w:val="16"/>
        <w:lang w:val="x-none"/>
      </w:rPr>
      <w:tab/>
    </w:r>
    <w:r w:rsidRPr="00E569C1">
      <w:rPr>
        <w:rFonts w:ascii="Verdana" w:hAnsi="Verdana"/>
        <w:sz w:val="16"/>
        <w:szCs w:val="16"/>
        <w:lang w:val="x-none"/>
      </w:rPr>
      <w:fldChar w:fldCharType="begin"/>
    </w:r>
    <w:r w:rsidRPr="00E569C1">
      <w:rPr>
        <w:rFonts w:ascii="Verdana" w:hAnsi="Verdana"/>
        <w:sz w:val="16"/>
        <w:szCs w:val="16"/>
        <w:lang w:val="x-none"/>
      </w:rPr>
      <w:instrText xml:space="preserve"> PAGE   \* MERGEFORMAT </w:instrText>
    </w:r>
    <w:r w:rsidRPr="00E569C1">
      <w:rPr>
        <w:rFonts w:ascii="Verdana" w:hAnsi="Verdana"/>
        <w:sz w:val="16"/>
        <w:szCs w:val="16"/>
        <w:lang w:val="x-none"/>
      </w:rPr>
      <w:fldChar w:fldCharType="separate"/>
    </w:r>
    <w:r w:rsidR="003B5293">
      <w:rPr>
        <w:rFonts w:ascii="Verdana" w:hAnsi="Verdana"/>
        <w:noProof/>
        <w:sz w:val="16"/>
        <w:szCs w:val="16"/>
        <w:lang w:val="x-none"/>
      </w:rPr>
      <w:t>18</w:t>
    </w:r>
    <w:r w:rsidRPr="00E569C1">
      <w:rPr>
        <w:rFonts w:ascii="Verdana" w:hAnsi="Verdana"/>
        <w:noProof/>
        <w:sz w:val="16"/>
        <w:szCs w:val="16"/>
        <w:lang w:val="x-non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82A" w:rsidRDefault="0057182A" w:rsidP="00EB7F05">
    <w:pPr>
      <w:pStyle w:val="Footer"/>
      <w:ind w:firstLine="0"/>
      <w:jc w:val="left"/>
      <w:rPr>
        <w:rFonts w:ascii="Verdana" w:hAnsi="Verdana"/>
        <w:snapToGrid/>
        <w:sz w:val="16"/>
        <w:szCs w:val="16"/>
      </w:rPr>
    </w:pPr>
    <w:r>
      <w:rPr>
        <w:rFonts w:ascii="Verdana" w:hAnsi="Verdana"/>
        <w:sz w:val="16"/>
        <w:szCs w:val="16"/>
      </w:rPr>
      <w:t>Copyright © 2017 Pearson Australia (a division of Pearson Australia Group Pty Ltd) 9781488611520</w:t>
    </w:r>
  </w:p>
  <w:p w:rsidR="0057182A" w:rsidRPr="00EB7F05" w:rsidRDefault="0057182A" w:rsidP="00EB7F05">
    <w:pPr>
      <w:pStyle w:val="Footer"/>
      <w:ind w:right="-1" w:firstLine="0"/>
      <w:jc w:val="left"/>
      <w:rPr>
        <w:sz w:val="18"/>
        <w:szCs w:val="18"/>
      </w:rPr>
    </w:pPr>
    <w:r>
      <w:rPr>
        <w:rFonts w:ascii="Verdana" w:hAnsi="Verdana"/>
        <w:sz w:val="16"/>
        <w:szCs w:val="16"/>
      </w:rPr>
      <w:t xml:space="preserve">Arthur, </w:t>
    </w:r>
    <w:r>
      <w:rPr>
        <w:rFonts w:ascii="Verdana" w:hAnsi="Verdana"/>
        <w:i/>
        <w:sz w:val="16"/>
        <w:szCs w:val="16"/>
      </w:rPr>
      <w:t>Accounting for Corporate Combinations and Associations 8e</w:t>
    </w:r>
    <w:r>
      <w:rPr>
        <w:rFonts w:ascii="Verdana" w:hAnsi="Verdana"/>
        <w:i/>
        <w:sz w:val="16"/>
        <w:szCs w:val="16"/>
      </w:rPr>
      <w:tab/>
    </w:r>
    <w:r>
      <w:rPr>
        <w:rFonts w:ascii="Verdana" w:hAnsi="Verdana"/>
        <w:sz w:val="16"/>
        <w:szCs w:val="16"/>
      </w:rPr>
      <w:fldChar w:fldCharType="begin"/>
    </w:r>
    <w:r>
      <w:rPr>
        <w:rFonts w:ascii="Verdana" w:hAnsi="Verdana"/>
        <w:sz w:val="16"/>
        <w:szCs w:val="16"/>
      </w:rPr>
      <w:instrText xml:space="preserve"> PAGE   \* MERGEFORMAT </w:instrText>
    </w:r>
    <w:r>
      <w:rPr>
        <w:rFonts w:ascii="Verdana" w:hAnsi="Verdana"/>
        <w:sz w:val="16"/>
        <w:szCs w:val="16"/>
      </w:rPr>
      <w:fldChar w:fldCharType="separate"/>
    </w:r>
    <w:r w:rsidR="003B5293">
      <w:rPr>
        <w:rFonts w:ascii="Verdana" w:hAnsi="Verdana"/>
        <w:noProof/>
        <w:sz w:val="16"/>
        <w:szCs w:val="16"/>
      </w:rPr>
      <w:t>1</w:t>
    </w:r>
    <w:r>
      <w:rPr>
        <w:rFonts w:ascii="Verdana" w:hAnsi="Verdana"/>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F28" w:rsidRDefault="00A92F28">
      <w:r>
        <w:separator/>
      </w:r>
    </w:p>
  </w:footnote>
  <w:footnote w:type="continuationSeparator" w:id="0">
    <w:p w:rsidR="00A92F28" w:rsidRDefault="00A92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82A" w:rsidRPr="005D3F72" w:rsidRDefault="0057182A" w:rsidP="007B7A8A">
    <w:pPr>
      <w:pStyle w:val="Header"/>
      <w:ind w:left="-1797" w:firstLine="0"/>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82A" w:rsidRDefault="00A92F28" w:rsidP="00133E6E">
    <w:pPr>
      <w:pStyle w:val="Header"/>
      <w:tabs>
        <w:tab w:val="clear" w:pos="8306"/>
      </w:tabs>
      <w:ind w:left="-1797" w:right="-1753" w:firstLine="0"/>
      <w:jc w:val="center"/>
    </w:pPr>
    <w:r>
      <w:rPr>
        <w:noProof/>
        <w:snapToGrid/>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598.6pt;height:25.9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4AB"/>
    <w:multiLevelType w:val="hybridMultilevel"/>
    <w:tmpl w:val="8DD0E4BE"/>
    <w:lvl w:ilvl="0" w:tplc="C06CA1B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21C2C67"/>
    <w:multiLevelType w:val="hybridMultilevel"/>
    <w:tmpl w:val="2E746B6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52E5FAE"/>
    <w:multiLevelType w:val="hybridMultilevel"/>
    <w:tmpl w:val="514AFA62"/>
    <w:lvl w:ilvl="0" w:tplc="F0C09E3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nsid w:val="05F82309"/>
    <w:multiLevelType w:val="hybridMultilevel"/>
    <w:tmpl w:val="81786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9D44A2"/>
    <w:multiLevelType w:val="hybridMultilevel"/>
    <w:tmpl w:val="9432B8AE"/>
    <w:lvl w:ilvl="0" w:tplc="C06CA1B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9EF593F"/>
    <w:multiLevelType w:val="singleLevel"/>
    <w:tmpl w:val="0B8E9CD0"/>
    <w:lvl w:ilvl="0">
      <w:start w:val="1"/>
      <w:numFmt w:val="lowerRoman"/>
      <w:lvlText w:val="(%1)"/>
      <w:lvlJc w:val="left"/>
      <w:pPr>
        <w:tabs>
          <w:tab w:val="num" w:pos="720"/>
        </w:tabs>
        <w:ind w:left="360" w:hanging="360"/>
      </w:pPr>
      <w:rPr>
        <w:rFonts w:hint="default"/>
      </w:rPr>
    </w:lvl>
  </w:abstractNum>
  <w:abstractNum w:abstractNumId="6">
    <w:nsid w:val="0A32435C"/>
    <w:multiLevelType w:val="hybridMultilevel"/>
    <w:tmpl w:val="B2281E5A"/>
    <w:lvl w:ilvl="0" w:tplc="C06CA1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A3B384B"/>
    <w:multiLevelType w:val="hybridMultilevel"/>
    <w:tmpl w:val="8806F6B4"/>
    <w:lvl w:ilvl="0" w:tplc="3106303C">
      <w:start w:val="1"/>
      <w:numFmt w:val="lowerLetter"/>
      <w:lvlText w:val="%1)"/>
      <w:lvlJc w:val="left"/>
      <w:pPr>
        <w:tabs>
          <w:tab w:val="num" w:pos="720"/>
        </w:tabs>
        <w:ind w:left="720" w:hanging="360"/>
      </w:pPr>
    </w:lvl>
    <w:lvl w:ilvl="1" w:tplc="BED21F3C" w:tentative="1">
      <w:start w:val="1"/>
      <w:numFmt w:val="lowerLetter"/>
      <w:lvlText w:val="%2."/>
      <w:lvlJc w:val="left"/>
      <w:pPr>
        <w:tabs>
          <w:tab w:val="num" w:pos="1440"/>
        </w:tabs>
        <w:ind w:left="1440" w:hanging="360"/>
      </w:pPr>
    </w:lvl>
    <w:lvl w:ilvl="2" w:tplc="97D8ABC4" w:tentative="1">
      <w:start w:val="1"/>
      <w:numFmt w:val="lowerRoman"/>
      <w:lvlText w:val="%3."/>
      <w:lvlJc w:val="right"/>
      <w:pPr>
        <w:tabs>
          <w:tab w:val="num" w:pos="2160"/>
        </w:tabs>
        <w:ind w:left="2160" w:hanging="180"/>
      </w:pPr>
    </w:lvl>
    <w:lvl w:ilvl="3" w:tplc="26561794" w:tentative="1">
      <w:start w:val="1"/>
      <w:numFmt w:val="decimal"/>
      <w:lvlText w:val="%4."/>
      <w:lvlJc w:val="left"/>
      <w:pPr>
        <w:tabs>
          <w:tab w:val="num" w:pos="2880"/>
        </w:tabs>
        <w:ind w:left="2880" w:hanging="360"/>
      </w:pPr>
    </w:lvl>
    <w:lvl w:ilvl="4" w:tplc="DD8E4D1E" w:tentative="1">
      <w:start w:val="1"/>
      <w:numFmt w:val="lowerLetter"/>
      <w:lvlText w:val="%5."/>
      <w:lvlJc w:val="left"/>
      <w:pPr>
        <w:tabs>
          <w:tab w:val="num" w:pos="3600"/>
        </w:tabs>
        <w:ind w:left="3600" w:hanging="360"/>
      </w:pPr>
    </w:lvl>
    <w:lvl w:ilvl="5" w:tplc="04A0BE22" w:tentative="1">
      <w:start w:val="1"/>
      <w:numFmt w:val="lowerRoman"/>
      <w:lvlText w:val="%6."/>
      <w:lvlJc w:val="right"/>
      <w:pPr>
        <w:tabs>
          <w:tab w:val="num" w:pos="4320"/>
        </w:tabs>
        <w:ind w:left="4320" w:hanging="180"/>
      </w:pPr>
    </w:lvl>
    <w:lvl w:ilvl="6" w:tplc="B00C2E10" w:tentative="1">
      <w:start w:val="1"/>
      <w:numFmt w:val="decimal"/>
      <w:lvlText w:val="%7."/>
      <w:lvlJc w:val="left"/>
      <w:pPr>
        <w:tabs>
          <w:tab w:val="num" w:pos="5040"/>
        </w:tabs>
        <w:ind w:left="5040" w:hanging="360"/>
      </w:pPr>
    </w:lvl>
    <w:lvl w:ilvl="7" w:tplc="7B8E7DD6" w:tentative="1">
      <w:start w:val="1"/>
      <w:numFmt w:val="lowerLetter"/>
      <w:lvlText w:val="%8."/>
      <w:lvlJc w:val="left"/>
      <w:pPr>
        <w:tabs>
          <w:tab w:val="num" w:pos="5760"/>
        </w:tabs>
        <w:ind w:left="5760" w:hanging="360"/>
      </w:pPr>
    </w:lvl>
    <w:lvl w:ilvl="8" w:tplc="F29CCB30" w:tentative="1">
      <w:start w:val="1"/>
      <w:numFmt w:val="lowerRoman"/>
      <w:lvlText w:val="%9."/>
      <w:lvlJc w:val="right"/>
      <w:pPr>
        <w:tabs>
          <w:tab w:val="num" w:pos="6480"/>
        </w:tabs>
        <w:ind w:left="6480" w:hanging="180"/>
      </w:pPr>
    </w:lvl>
  </w:abstractNum>
  <w:abstractNum w:abstractNumId="8">
    <w:nsid w:val="0B5C750F"/>
    <w:multiLevelType w:val="hybridMultilevel"/>
    <w:tmpl w:val="FE886956"/>
    <w:lvl w:ilvl="0" w:tplc="B4082E0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0C2777E3"/>
    <w:multiLevelType w:val="hybridMultilevel"/>
    <w:tmpl w:val="F3CECD3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C955238"/>
    <w:multiLevelType w:val="hybridMultilevel"/>
    <w:tmpl w:val="FD228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EDA6B5F"/>
    <w:multiLevelType w:val="hybridMultilevel"/>
    <w:tmpl w:val="EA00A192"/>
    <w:lvl w:ilvl="0" w:tplc="C06CA1B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07468C3"/>
    <w:multiLevelType w:val="hybridMultilevel"/>
    <w:tmpl w:val="3BE05B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398671F"/>
    <w:multiLevelType w:val="hybridMultilevel"/>
    <w:tmpl w:val="A6A6BB34"/>
    <w:lvl w:ilvl="0" w:tplc="106C66A4">
      <w:start w:val="1"/>
      <w:numFmt w:val="lowerLetter"/>
      <w:lvlText w:val="%1)"/>
      <w:lvlJc w:val="left"/>
      <w:pPr>
        <w:tabs>
          <w:tab w:val="num" w:pos="720"/>
        </w:tabs>
        <w:ind w:left="720" w:hanging="360"/>
      </w:pPr>
    </w:lvl>
    <w:lvl w:ilvl="1" w:tplc="3266D48A" w:tentative="1">
      <w:start w:val="1"/>
      <w:numFmt w:val="lowerLetter"/>
      <w:lvlText w:val="%2."/>
      <w:lvlJc w:val="left"/>
      <w:pPr>
        <w:tabs>
          <w:tab w:val="num" w:pos="1440"/>
        </w:tabs>
        <w:ind w:left="1440" w:hanging="360"/>
      </w:pPr>
    </w:lvl>
    <w:lvl w:ilvl="2" w:tplc="6ED08842" w:tentative="1">
      <w:start w:val="1"/>
      <w:numFmt w:val="lowerRoman"/>
      <w:lvlText w:val="%3."/>
      <w:lvlJc w:val="right"/>
      <w:pPr>
        <w:tabs>
          <w:tab w:val="num" w:pos="2160"/>
        </w:tabs>
        <w:ind w:left="2160" w:hanging="180"/>
      </w:pPr>
    </w:lvl>
    <w:lvl w:ilvl="3" w:tplc="B3E4B896" w:tentative="1">
      <w:start w:val="1"/>
      <w:numFmt w:val="decimal"/>
      <w:lvlText w:val="%4."/>
      <w:lvlJc w:val="left"/>
      <w:pPr>
        <w:tabs>
          <w:tab w:val="num" w:pos="2880"/>
        </w:tabs>
        <w:ind w:left="2880" w:hanging="360"/>
      </w:pPr>
    </w:lvl>
    <w:lvl w:ilvl="4" w:tplc="C0620064" w:tentative="1">
      <w:start w:val="1"/>
      <w:numFmt w:val="lowerLetter"/>
      <w:lvlText w:val="%5."/>
      <w:lvlJc w:val="left"/>
      <w:pPr>
        <w:tabs>
          <w:tab w:val="num" w:pos="3600"/>
        </w:tabs>
        <w:ind w:left="3600" w:hanging="360"/>
      </w:pPr>
    </w:lvl>
    <w:lvl w:ilvl="5" w:tplc="74CE6086" w:tentative="1">
      <w:start w:val="1"/>
      <w:numFmt w:val="lowerRoman"/>
      <w:lvlText w:val="%6."/>
      <w:lvlJc w:val="right"/>
      <w:pPr>
        <w:tabs>
          <w:tab w:val="num" w:pos="4320"/>
        </w:tabs>
        <w:ind w:left="4320" w:hanging="180"/>
      </w:pPr>
    </w:lvl>
    <w:lvl w:ilvl="6" w:tplc="7AA6A240" w:tentative="1">
      <w:start w:val="1"/>
      <w:numFmt w:val="decimal"/>
      <w:lvlText w:val="%7."/>
      <w:lvlJc w:val="left"/>
      <w:pPr>
        <w:tabs>
          <w:tab w:val="num" w:pos="5040"/>
        </w:tabs>
        <w:ind w:left="5040" w:hanging="360"/>
      </w:pPr>
    </w:lvl>
    <w:lvl w:ilvl="7" w:tplc="210E8DD4" w:tentative="1">
      <w:start w:val="1"/>
      <w:numFmt w:val="lowerLetter"/>
      <w:lvlText w:val="%8."/>
      <w:lvlJc w:val="left"/>
      <w:pPr>
        <w:tabs>
          <w:tab w:val="num" w:pos="5760"/>
        </w:tabs>
        <w:ind w:left="5760" w:hanging="360"/>
      </w:pPr>
    </w:lvl>
    <w:lvl w:ilvl="8" w:tplc="A3D24826" w:tentative="1">
      <w:start w:val="1"/>
      <w:numFmt w:val="lowerRoman"/>
      <w:lvlText w:val="%9."/>
      <w:lvlJc w:val="right"/>
      <w:pPr>
        <w:tabs>
          <w:tab w:val="num" w:pos="6480"/>
        </w:tabs>
        <w:ind w:left="6480" w:hanging="180"/>
      </w:pPr>
    </w:lvl>
  </w:abstractNum>
  <w:abstractNum w:abstractNumId="14">
    <w:nsid w:val="16125738"/>
    <w:multiLevelType w:val="hybridMultilevel"/>
    <w:tmpl w:val="AC828424"/>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FB476FD"/>
    <w:multiLevelType w:val="hybridMultilevel"/>
    <w:tmpl w:val="514AFA62"/>
    <w:lvl w:ilvl="0" w:tplc="F0C09E3E">
      <w:start w:val="1"/>
      <w:numFmt w:val="lowerLetter"/>
      <w:lvlText w:val="(%1)"/>
      <w:lvlJc w:val="left"/>
      <w:pPr>
        <w:ind w:left="1242" w:hanging="360"/>
      </w:pPr>
      <w:rPr>
        <w:rFonts w:hint="default"/>
      </w:rPr>
    </w:lvl>
    <w:lvl w:ilvl="1" w:tplc="0C090019" w:tentative="1">
      <w:start w:val="1"/>
      <w:numFmt w:val="lowerLetter"/>
      <w:lvlText w:val="%2."/>
      <w:lvlJc w:val="left"/>
      <w:pPr>
        <w:ind w:left="1962" w:hanging="360"/>
      </w:pPr>
    </w:lvl>
    <w:lvl w:ilvl="2" w:tplc="0C09001B" w:tentative="1">
      <w:start w:val="1"/>
      <w:numFmt w:val="lowerRoman"/>
      <w:lvlText w:val="%3."/>
      <w:lvlJc w:val="right"/>
      <w:pPr>
        <w:ind w:left="2682" w:hanging="180"/>
      </w:pPr>
    </w:lvl>
    <w:lvl w:ilvl="3" w:tplc="0C09000F" w:tentative="1">
      <w:start w:val="1"/>
      <w:numFmt w:val="decimal"/>
      <w:lvlText w:val="%4."/>
      <w:lvlJc w:val="left"/>
      <w:pPr>
        <w:ind w:left="3402" w:hanging="360"/>
      </w:pPr>
    </w:lvl>
    <w:lvl w:ilvl="4" w:tplc="0C090019" w:tentative="1">
      <w:start w:val="1"/>
      <w:numFmt w:val="lowerLetter"/>
      <w:lvlText w:val="%5."/>
      <w:lvlJc w:val="left"/>
      <w:pPr>
        <w:ind w:left="4122" w:hanging="360"/>
      </w:pPr>
    </w:lvl>
    <w:lvl w:ilvl="5" w:tplc="0C09001B" w:tentative="1">
      <w:start w:val="1"/>
      <w:numFmt w:val="lowerRoman"/>
      <w:lvlText w:val="%6."/>
      <w:lvlJc w:val="right"/>
      <w:pPr>
        <w:ind w:left="4842" w:hanging="180"/>
      </w:pPr>
    </w:lvl>
    <w:lvl w:ilvl="6" w:tplc="0C09000F" w:tentative="1">
      <w:start w:val="1"/>
      <w:numFmt w:val="decimal"/>
      <w:lvlText w:val="%7."/>
      <w:lvlJc w:val="left"/>
      <w:pPr>
        <w:ind w:left="5562" w:hanging="360"/>
      </w:pPr>
    </w:lvl>
    <w:lvl w:ilvl="7" w:tplc="0C090019" w:tentative="1">
      <w:start w:val="1"/>
      <w:numFmt w:val="lowerLetter"/>
      <w:lvlText w:val="%8."/>
      <w:lvlJc w:val="left"/>
      <w:pPr>
        <w:ind w:left="6282" w:hanging="360"/>
      </w:pPr>
    </w:lvl>
    <w:lvl w:ilvl="8" w:tplc="0C09001B" w:tentative="1">
      <w:start w:val="1"/>
      <w:numFmt w:val="lowerRoman"/>
      <w:lvlText w:val="%9."/>
      <w:lvlJc w:val="right"/>
      <w:pPr>
        <w:ind w:left="7002" w:hanging="180"/>
      </w:pPr>
    </w:lvl>
  </w:abstractNum>
  <w:abstractNum w:abstractNumId="16">
    <w:nsid w:val="210D1588"/>
    <w:multiLevelType w:val="hybridMultilevel"/>
    <w:tmpl w:val="812E4F58"/>
    <w:lvl w:ilvl="0" w:tplc="E5E8A812">
      <w:start w:val="1"/>
      <w:numFmt w:val="bullet"/>
      <w:lvlText w:val=""/>
      <w:lvlJc w:val="left"/>
      <w:pPr>
        <w:tabs>
          <w:tab w:val="num" w:pos="360"/>
        </w:tabs>
        <w:ind w:left="360" w:hanging="360"/>
      </w:pPr>
      <w:rPr>
        <w:rFonts w:ascii="Symbol" w:hAnsi="Symbol" w:hint="default"/>
      </w:rPr>
    </w:lvl>
    <w:lvl w:ilvl="1" w:tplc="6CAA46FC" w:tentative="1">
      <w:start w:val="1"/>
      <w:numFmt w:val="bullet"/>
      <w:lvlText w:val="o"/>
      <w:lvlJc w:val="left"/>
      <w:pPr>
        <w:tabs>
          <w:tab w:val="num" w:pos="1440"/>
        </w:tabs>
        <w:ind w:left="1440" w:hanging="360"/>
      </w:pPr>
      <w:rPr>
        <w:rFonts w:ascii="Courier New" w:hAnsi="Courier New" w:hint="default"/>
      </w:rPr>
    </w:lvl>
    <w:lvl w:ilvl="2" w:tplc="BEE4B4DC" w:tentative="1">
      <w:start w:val="1"/>
      <w:numFmt w:val="bullet"/>
      <w:lvlText w:val=""/>
      <w:lvlJc w:val="left"/>
      <w:pPr>
        <w:tabs>
          <w:tab w:val="num" w:pos="2160"/>
        </w:tabs>
        <w:ind w:left="2160" w:hanging="360"/>
      </w:pPr>
      <w:rPr>
        <w:rFonts w:ascii="Wingdings" w:hAnsi="Wingdings" w:hint="default"/>
      </w:rPr>
    </w:lvl>
    <w:lvl w:ilvl="3" w:tplc="EBC6D3FA" w:tentative="1">
      <w:start w:val="1"/>
      <w:numFmt w:val="bullet"/>
      <w:lvlText w:val=""/>
      <w:lvlJc w:val="left"/>
      <w:pPr>
        <w:tabs>
          <w:tab w:val="num" w:pos="2880"/>
        </w:tabs>
        <w:ind w:left="2880" w:hanging="360"/>
      </w:pPr>
      <w:rPr>
        <w:rFonts w:ascii="Symbol" w:hAnsi="Symbol" w:hint="default"/>
      </w:rPr>
    </w:lvl>
    <w:lvl w:ilvl="4" w:tplc="B96A9728" w:tentative="1">
      <w:start w:val="1"/>
      <w:numFmt w:val="bullet"/>
      <w:lvlText w:val="o"/>
      <w:lvlJc w:val="left"/>
      <w:pPr>
        <w:tabs>
          <w:tab w:val="num" w:pos="3600"/>
        </w:tabs>
        <w:ind w:left="3600" w:hanging="360"/>
      </w:pPr>
      <w:rPr>
        <w:rFonts w:ascii="Courier New" w:hAnsi="Courier New" w:hint="default"/>
      </w:rPr>
    </w:lvl>
    <w:lvl w:ilvl="5" w:tplc="86C82C5C" w:tentative="1">
      <w:start w:val="1"/>
      <w:numFmt w:val="bullet"/>
      <w:lvlText w:val=""/>
      <w:lvlJc w:val="left"/>
      <w:pPr>
        <w:tabs>
          <w:tab w:val="num" w:pos="4320"/>
        </w:tabs>
        <w:ind w:left="4320" w:hanging="360"/>
      </w:pPr>
      <w:rPr>
        <w:rFonts w:ascii="Wingdings" w:hAnsi="Wingdings" w:hint="default"/>
      </w:rPr>
    </w:lvl>
    <w:lvl w:ilvl="6" w:tplc="1B8EA126" w:tentative="1">
      <w:start w:val="1"/>
      <w:numFmt w:val="bullet"/>
      <w:lvlText w:val=""/>
      <w:lvlJc w:val="left"/>
      <w:pPr>
        <w:tabs>
          <w:tab w:val="num" w:pos="5040"/>
        </w:tabs>
        <w:ind w:left="5040" w:hanging="360"/>
      </w:pPr>
      <w:rPr>
        <w:rFonts w:ascii="Symbol" w:hAnsi="Symbol" w:hint="default"/>
      </w:rPr>
    </w:lvl>
    <w:lvl w:ilvl="7" w:tplc="95649960" w:tentative="1">
      <w:start w:val="1"/>
      <w:numFmt w:val="bullet"/>
      <w:lvlText w:val="o"/>
      <w:lvlJc w:val="left"/>
      <w:pPr>
        <w:tabs>
          <w:tab w:val="num" w:pos="5760"/>
        </w:tabs>
        <w:ind w:left="5760" w:hanging="360"/>
      </w:pPr>
      <w:rPr>
        <w:rFonts w:ascii="Courier New" w:hAnsi="Courier New" w:hint="default"/>
      </w:rPr>
    </w:lvl>
    <w:lvl w:ilvl="8" w:tplc="68761378" w:tentative="1">
      <w:start w:val="1"/>
      <w:numFmt w:val="bullet"/>
      <w:lvlText w:val=""/>
      <w:lvlJc w:val="left"/>
      <w:pPr>
        <w:tabs>
          <w:tab w:val="num" w:pos="6480"/>
        </w:tabs>
        <w:ind w:left="6480" w:hanging="360"/>
      </w:pPr>
      <w:rPr>
        <w:rFonts w:ascii="Wingdings" w:hAnsi="Wingdings" w:hint="default"/>
      </w:rPr>
    </w:lvl>
  </w:abstractNum>
  <w:abstractNum w:abstractNumId="17">
    <w:nsid w:val="2C8E10EF"/>
    <w:multiLevelType w:val="singleLevel"/>
    <w:tmpl w:val="76864EE0"/>
    <w:lvl w:ilvl="0">
      <w:start w:val="1"/>
      <w:numFmt w:val="lowerLetter"/>
      <w:lvlText w:val="(%1)"/>
      <w:lvlJc w:val="left"/>
      <w:pPr>
        <w:tabs>
          <w:tab w:val="num" w:pos="360"/>
        </w:tabs>
        <w:ind w:left="360" w:hanging="360"/>
      </w:pPr>
      <w:rPr>
        <w:rFonts w:hint="default"/>
      </w:rPr>
    </w:lvl>
  </w:abstractNum>
  <w:abstractNum w:abstractNumId="18">
    <w:nsid w:val="32C8707A"/>
    <w:multiLevelType w:val="hybridMultilevel"/>
    <w:tmpl w:val="9CCA79A8"/>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32DE3140"/>
    <w:multiLevelType w:val="hybridMultilevel"/>
    <w:tmpl w:val="84F42A46"/>
    <w:lvl w:ilvl="0" w:tplc="9D5E8F1A">
      <w:start w:val="4"/>
      <w:numFmt w:val="upp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336A2114"/>
    <w:multiLevelType w:val="hybridMultilevel"/>
    <w:tmpl w:val="59323C2C"/>
    <w:lvl w:ilvl="0" w:tplc="C06CA1B8">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nsid w:val="37B02817"/>
    <w:multiLevelType w:val="hybridMultilevel"/>
    <w:tmpl w:val="78E6AE64"/>
    <w:lvl w:ilvl="0" w:tplc="28D27A76">
      <w:start w:val="1"/>
      <w:numFmt w:val="bullet"/>
      <w:lvlText w:val=""/>
      <w:lvlJc w:val="left"/>
      <w:pPr>
        <w:tabs>
          <w:tab w:val="num" w:pos="720"/>
        </w:tabs>
        <w:ind w:left="720" w:hanging="360"/>
      </w:pPr>
      <w:rPr>
        <w:rFonts w:ascii="Symbol" w:hAnsi="Symbol" w:hint="default"/>
      </w:rPr>
    </w:lvl>
    <w:lvl w:ilvl="1" w:tplc="75023CFC" w:tentative="1">
      <w:start w:val="1"/>
      <w:numFmt w:val="bullet"/>
      <w:lvlText w:val="o"/>
      <w:lvlJc w:val="left"/>
      <w:pPr>
        <w:tabs>
          <w:tab w:val="num" w:pos="1440"/>
        </w:tabs>
        <w:ind w:left="1440" w:hanging="360"/>
      </w:pPr>
      <w:rPr>
        <w:rFonts w:ascii="Courier New" w:hAnsi="Courier New" w:hint="default"/>
      </w:rPr>
    </w:lvl>
    <w:lvl w:ilvl="2" w:tplc="E808173E" w:tentative="1">
      <w:start w:val="1"/>
      <w:numFmt w:val="bullet"/>
      <w:lvlText w:val=""/>
      <w:lvlJc w:val="left"/>
      <w:pPr>
        <w:tabs>
          <w:tab w:val="num" w:pos="2160"/>
        </w:tabs>
        <w:ind w:left="2160" w:hanging="360"/>
      </w:pPr>
      <w:rPr>
        <w:rFonts w:ascii="Wingdings" w:hAnsi="Wingdings" w:hint="default"/>
      </w:rPr>
    </w:lvl>
    <w:lvl w:ilvl="3" w:tplc="EB8C0374" w:tentative="1">
      <w:start w:val="1"/>
      <w:numFmt w:val="bullet"/>
      <w:lvlText w:val=""/>
      <w:lvlJc w:val="left"/>
      <w:pPr>
        <w:tabs>
          <w:tab w:val="num" w:pos="2880"/>
        </w:tabs>
        <w:ind w:left="2880" w:hanging="360"/>
      </w:pPr>
      <w:rPr>
        <w:rFonts w:ascii="Symbol" w:hAnsi="Symbol" w:hint="default"/>
      </w:rPr>
    </w:lvl>
    <w:lvl w:ilvl="4" w:tplc="F710DBEE" w:tentative="1">
      <w:start w:val="1"/>
      <w:numFmt w:val="bullet"/>
      <w:lvlText w:val="o"/>
      <w:lvlJc w:val="left"/>
      <w:pPr>
        <w:tabs>
          <w:tab w:val="num" w:pos="3600"/>
        </w:tabs>
        <w:ind w:left="3600" w:hanging="360"/>
      </w:pPr>
      <w:rPr>
        <w:rFonts w:ascii="Courier New" w:hAnsi="Courier New" w:hint="default"/>
      </w:rPr>
    </w:lvl>
    <w:lvl w:ilvl="5" w:tplc="E6201EC4" w:tentative="1">
      <w:start w:val="1"/>
      <w:numFmt w:val="bullet"/>
      <w:lvlText w:val=""/>
      <w:lvlJc w:val="left"/>
      <w:pPr>
        <w:tabs>
          <w:tab w:val="num" w:pos="4320"/>
        </w:tabs>
        <w:ind w:left="4320" w:hanging="360"/>
      </w:pPr>
      <w:rPr>
        <w:rFonts w:ascii="Wingdings" w:hAnsi="Wingdings" w:hint="default"/>
      </w:rPr>
    </w:lvl>
    <w:lvl w:ilvl="6" w:tplc="C37294F8" w:tentative="1">
      <w:start w:val="1"/>
      <w:numFmt w:val="bullet"/>
      <w:lvlText w:val=""/>
      <w:lvlJc w:val="left"/>
      <w:pPr>
        <w:tabs>
          <w:tab w:val="num" w:pos="5040"/>
        </w:tabs>
        <w:ind w:left="5040" w:hanging="360"/>
      </w:pPr>
      <w:rPr>
        <w:rFonts w:ascii="Symbol" w:hAnsi="Symbol" w:hint="default"/>
      </w:rPr>
    </w:lvl>
    <w:lvl w:ilvl="7" w:tplc="933AA710" w:tentative="1">
      <w:start w:val="1"/>
      <w:numFmt w:val="bullet"/>
      <w:lvlText w:val="o"/>
      <w:lvlJc w:val="left"/>
      <w:pPr>
        <w:tabs>
          <w:tab w:val="num" w:pos="5760"/>
        </w:tabs>
        <w:ind w:left="5760" w:hanging="360"/>
      </w:pPr>
      <w:rPr>
        <w:rFonts w:ascii="Courier New" w:hAnsi="Courier New" w:hint="default"/>
      </w:rPr>
    </w:lvl>
    <w:lvl w:ilvl="8" w:tplc="81D067F2" w:tentative="1">
      <w:start w:val="1"/>
      <w:numFmt w:val="bullet"/>
      <w:lvlText w:val=""/>
      <w:lvlJc w:val="left"/>
      <w:pPr>
        <w:tabs>
          <w:tab w:val="num" w:pos="6480"/>
        </w:tabs>
        <w:ind w:left="6480" w:hanging="360"/>
      </w:pPr>
      <w:rPr>
        <w:rFonts w:ascii="Wingdings" w:hAnsi="Wingdings" w:hint="default"/>
      </w:rPr>
    </w:lvl>
  </w:abstractNum>
  <w:abstractNum w:abstractNumId="22">
    <w:nsid w:val="39EB2EC3"/>
    <w:multiLevelType w:val="hybridMultilevel"/>
    <w:tmpl w:val="38C0A30C"/>
    <w:lvl w:ilvl="0" w:tplc="C06CA1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AA86D31"/>
    <w:multiLevelType w:val="hybridMultilevel"/>
    <w:tmpl w:val="52DC2B34"/>
    <w:lvl w:ilvl="0" w:tplc="04090001">
      <w:start w:val="1"/>
      <w:numFmt w:val="bullet"/>
      <w:lvlText w:val=""/>
      <w:lvlJc w:val="left"/>
      <w:pPr>
        <w:tabs>
          <w:tab w:val="num" w:pos="360"/>
        </w:tabs>
        <w:ind w:left="360" w:hanging="360"/>
      </w:pPr>
      <w:rPr>
        <w:rFonts w:ascii="Symbol" w:hAnsi="Symbol" w:hint="default"/>
      </w:rPr>
    </w:lvl>
    <w:lvl w:ilvl="1" w:tplc="E60E6A94">
      <w:start w:val="1"/>
      <w:numFmt w:val="bullet"/>
      <w:lvlText w:val=""/>
      <w:lvlJc w:val="left"/>
      <w:pPr>
        <w:tabs>
          <w:tab w:val="num" w:pos="1944"/>
        </w:tabs>
        <w:ind w:left="1944" w:hanging="360"/>
      </w:pPr>
      <w:rPr>
        <w:rFonts w:ascii="Symbol" w:hAnsi="Symbol" w:hint="default"/>
      </w:rPr>
    </w:lvl>
    <w:lvl w:ilvl="2" w:tplc="1668ED02" w:tentative="1">
      <w:start w:val="1"/>
      <w:numFmt w:val="bullet"/>
      <w:lvlText w:val=""/>
      <w:lvlJc w:val="left"/>
      <w:pPr>
        <w:tabs>
          <w:tab w:val="num" w:pos="2664"/>
        </w:tabs>
        <w:ind w:left="2664" w:hanging="360"/>
      </w:pPr>
      <w:rPr>
        <w:rFonts w:ascii="Wingdings" w:hAnsi="Wingdings" w:hint="default"/>
      </w:rPr>
    </w:lvl>
    <w:lvl w:ilvl="3" w:tplc="1F4C12D4" w:tentative="1">
      <w:start w:val="1"/>
      <w:numFmt w:val="bullet"/>
      <w:lvlText w:val=""/>
      <w:lvlJc w:val="left"/>
      <w:pPr>
        <w:tabs>
          <w:tab w:val="num" w:pos="3384"/>
        </w:tabs>
        <w:ind w:left="3384" w:hanging="360"/>
      </w:pPr>
      <w:rPr>
        <w:rFonts w:ascii="Symbol" w:hAnsi="Symbol" w:hint="default"/>
      </w:rPr>
    </w:lvl>
    <w:lvl w:ilvl="4" w:tplc="B2E0DA1A" w:tentative="1">
      <w:start w:val="1"/>
      <w:numFmt w:val="bullet"/>
      <w:lvlText w:val="o"/>
      <w:lvlJc w:val="left"/>
      <w:pPr>
        <w:tabs>
          <w:tab w:val="num" w:pos="4104"/>
        </w:tabs>
        <w:ind w:left="4104" w:hanging="360"/>
      </w:pPr>
      <w:rPr>
        <w:rFonts w:ascii="Courier New" w:hAnsi="Courier New" w:hint="default"/>
      </w:rPr>
    </w:lvl>
    <w:lvl w:ilvl="5" w:tplc="BF0E0136" w:tentative="1">
      <w:start w:val="1"/>
      <w:numFmt w:val="bullet"/>
      <w:lvlText w:val=""/>
      <w:lvlJc w:val="left"/>
      <w:pPr>
        <w:tabs>
          <w:tab w:val="num" w:pos="4824"/>
        </w:tabs>
        <w:ind w:left="4824" w:hanging="360"/>
      </w:pPr>
      <w:rPr>
        <w:rFonts w:ascii="Wingdings" w:hAnsi="Wingdings" w:hint="default"/>
      </w:rPr>
    </w:lvl>
    <w:lvl w:ilvl="6" w:tplc="F57E8B08" w:tentative="1">
      <w:start w:val="1"/>
      <w:numFmt w:val="bullet"/>
      <w:lvlText w:val=""/>
      <w:lvlJc w:val="left"/>
      <w:pPr>
        <w:tabs>
          <w:tab w:val="num" w:pos="5544"/>
        </w:tabs>
        <w:ind w:left="5544" w:hanging="360"/>
      </w:pPr>
      <w:rPr>
        <w:rFonts w:ascii="Symbol" w:hAnsi="Symbol" w:hint="default"/>
      </w:rPr>
    </w:lvl>
    <w:lvl w:ilvl="7" w:tplc="41A85832" w:tentative="1">
      <w:start w:val="1"/>
      <w:numFmt w:val="bullet"/>
      <w:lvlText w:val="o"/>
      <w:lvlJc w:val="left"/>
      <w:pPr>
        <w:tabs>
          <w:tab w:val="num" w:pos="6264"/>
        </w:tabs>
        <w:ind w:left="6264" w:hanging="360"/>
      </w:pPr>
      <w:rPr>
        <w:rFonts w:ascii="Courier New" w:hAnsi="Courier New" w:hint="default"/>
      </w:rPr>
    </w:lvl>
    <w:lvl w:ilvl="8" w:tplc="EC5C2524" w:tentative="1">
      <w:start w:val="1"/>
      <w:numFmt w:val="bullet"/>
      <w:lvlText w:val=""/>
      <w:lvlJc w:val="left"/>
      <w:pPr>
        <w:tabs>
          <w:tab w:val="num" w:pos="6984"/>
        </w:tabs>
        <w:ind w:left="6984" w:hanging="360"/>
      </w:pPr>
      <w:rPr>
        <w:rFonts w:ascii="Wingdings" w:hAnsi="Wingdings" w:hint="default"/>
      </w:rPr>
    </w:lvl>
  </w:abstractNum>
  <w:abstractNum w:abstractNumId="24">
    <w:nsid w:val="3BD643A3"/>
    <w:multiLevelType w:val="hybridMultilevel"/>
    <w:tmpl w:val="2A705684"/>
    <w:lvl w:ilvl="0" w:tplc="C06CA1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D860BD7"/>
    <w:multiLevelType w:val="hybridMultilevel"/>
    <w:tmpl w:val="4E2083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01658DC"/>
    <w:multiLevelType w:val="hybridMultilevel"/>
    <w:tmpl w:val="AC7ECC38"/>
    <w:lvl w:ilvl="0" w:tplc="A38E2016">
      <w:start w:val="1"/>
      <w:numFmt w:val="bullet"/>
      <w:lvlText w:val=""/>
      <w:lvlJc w:val="left"/>
      <w:pPr>
        <w:tabs>
          <w:tab w:val="num" w:pos="720"/>
        </w:tabs>
        <w:ind w:left="720" w:hanging="360"/>
      </w:pPr>
      <w:rPr>
        <w:rFonts w:ascii="Symbol" w:hAnsi="Symbol" w:hint="default"/>
      </w:rPr>
    </w:lvl>
    <w:lvl w:ilvl="1" w:tplc="77301116" w:tentative="1">
      <w:start w:val="1"/>
      <w:numFmt w:val="bullet"/>
      <w:lvlText w:val="o"/>
      <w:lvlJc w:val="left"/>
      <w:pPr>
        <w:tabs>
          <w:tab w:val="num" w:pos="1440"/>
        </w:tabs>
        <w:ind w:left="1440" w:hanging="360"/>
      </w:pPr>
      <w:rPr>
        <w:rFonts w:ascii="Courier New" w:hAnsi="Courier New" w:cs="Wingdings" w:hint="default"/>
      </w:rPr>
    </w:lvl>
    <w:lvl w:ilvl="2" w:tplc="BF34BD7E" w:tentative="1">
      <w:start w:val="1"/>
      <w:numFmt w:val="bullet"/>
      <w:lvlText w:val=""/>
      <w:lvlJc w:val="left"/>
      <w:pPr>
        <w:tabs>
          <w:tab w:val="num" w:pos="2160"/>
        </w:tabs>
        <w:ind w:left="2160" w:hanging="360"/>
      </w:pPr>
      <w:rPr>
        <w:rFonts w:ascii="Wingdings" w:hAnsi="Wingdings" w:hint="default"/>
      </w:rPr>
    </w:lvl>
    <w:lvl w:ilvl="3" w:tplc="0B74B870" w:tentative="1">
      <w:start w:val="1"/>
      <w:numFmt w:val="bullet"/>
      <w:lvlText w:val=""/>
      <w:lvlJc w:val="left"/>
      <w:pPr>
        <w:tabs>
          <w:tab w:val="num" w:pos="2880"/>
        </w:tabs>
        <w:ind w:left="2880" w:hanging="360"/>
      </w:pPr>
      <w:rPr>
        <w:rFonts w:ascii="Symbol" w:hAnsi="Symbol" w:hint="default"/>
      </w:rPr>
    </w:lvl>
    <w:lvl w:ilvl="4" w:tplc="549449FC" w:tentative="1">
      <w:start w:val="1"/>
      <w:numFmt w:val="bullet"/>
      <w:lvlText w:val="o"/>
      <w:lvlJc w:val="left"/>
      <w:pPr>
        <w:tabs>
          <w:tab w:val="num" w:pos="3600"/>
        </w:tabs>
        <w:ind w:left="3600" w:hanging="360"/>
      </w:pPr>
      <w:rPr>
        <w:rFonts w:ascii="Courier New" w:hAnsi="Courier New" w:cs="Wingdings" w:hint="default"/>
      </w:rPr>
    </w:lvl>
    <w:lvl w:ilvl="5" w:tplc="CDAA7A30" w:tentative="1">
      <w:start w:val="1"/>
      <w:numFmt w:val="bullet"/>
      <w:lvlText w:val=""/>
      <w:lvlJc w:val="left"/>
      <w:pPr>
        <w:tabs>
          <w:tab w:val="num" w:pos="4320"/>
        </w:tabs>
        <w:ind w:left="4320" w:hanging="360"/>
      </w:pPr>
      <w:rPr>
        <w:rFonts w:ascii="Wingdings" w:hAnsi="Wingdings" w:hint="default"/>
      </w:rPr>
    </w:lvl>
    <w:lvl w:ilvl="6" w:tplc="EE98EAD8" w:tentative="1">
      <w:start w:val="1"/>
      <w:numFmt w:val="bullet"/>
      <w:lvlText w:val=""/>
      <w:lvlJc w:val="left"/>
      <w:pPr>
        <w:tabs>
          <w:tab w:val="num" w:pos="5040"/>
        </w:tabs>
        <w:ind w:left="5040" w:hanging="360"/>
      </w:pPr>
      <w:rPr>
        <w:rFonts w:ascii="Symbol" w:hAnsi="Symbol" w:hint="default"/>
      </w:rPr>
    </w:lvl>
    <w:lvl w:ilvl="7" w:tplc="E842C3BE" w:tentative="1">
      <w:start w:val="1"/>
      <w:numFmt w:val="bullet"/>
      <w:lvlText w:val="o"/>
      <w:lvlJc w:val="left"/>
      <w:pPr>
        <w:tabs>
          <w:tab w:val="num" w:pos="5760"/>
        </w:tabs>
        <w:ind w:left="5760" w:hanging="360"/>
      </w:pPr>
      <w:rPr>
        <w:rFonts w:ascii="Courier New" w:hAnsi="Courier New" w:cs="Wingdings" w:hint="default"/>
      </w:rPr>
    </w:lvl>
    <w:lvl w:ilvl="8" w:tplc="F238D23C" w:tentative="1">
      <w:start w:val="1"/>
      <w:numFmt w:val="bullet"/>
      <w:lvlText w:val=""/>
      <w:lvlJc w:val="left"/>
      <w:pPr>
        <w:tabs>
          <w:tab w:val="num" w:pos="6480"/>
        </w:tabs>
        <w:ind w:left="6480" w:hanging="360"/>
      </w:pPr>
      <w:rPr>
        <w:rFonts w:ascii="Wingdings" w:hAnsi="Wingdings" w:hint="default"/>
      </w:rPr>
    </w:lvl>
  </w:abstractNum>
  <w:abstractNum w:abstractNumId="27">
    <w:nsid w:val="41447CBC"/>
    <w:multiLevelType w:val="hybridMultilevel"/>
    <w:tmpl w:val="7CB48CC2"/>
    <w:lvl w:ilvl="0" w:tplc="8A9060AA">
      <w:start w:val="1"/>
      <w:numFmt w:val="decimal"/>
      <w:lvlText w:val="%1."/>
      <w:lvlJc w:val="left"/>
      <w:pPr>
        <w:tabs>
          <w:tab w:val="num" w:pos="360"/>
        </w:tabs>
        <w:ind w:left="360" w:hanging="360"/>
      </w:pPr>
      <w:rPr>
        <w:rFonts w:ascii="Verdana" w:eastAsia="Times New Roman" w:hAnsi="Verdana" w:cs="Times New Roman"/>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nsid w:val="43A303DC"/>
    <w:multiLevelType w:val="hybridMultilevel"/>
    <w:tmpl w:val="CB3C507A"/>
    <w:lvl w:ilvl="0" w:tplc="150E0FA4">
      <w:start w:val="1"/>
      <w:numFmt w:val="lowerLetter"/>
      <w:lvlText w:val="%1."/>
      <w:lvlJc w:val="left"/>
      <w:pPr>
        <w:tabs>
          <w:tab w:val="num" w:pos="1080"/>
        </w:tabs>
        <w:ind w:left="1080" w:hanging="720"/>
      </w:pPr>
      <w:rPr>
        <w:rFonts w:ascii="Verdana" w:eastAsia="Times New Roman" w:hAnsi="Verdana" w:cs="Times New Roman"/>
      </w:rPr>
    </w:lvl>
    <w:lvl w:ilvl="1" w:tplc="5CCEA03C" w:tentative="1">
      <w:start w:val="1"/>
      <w:numFmt w:val="lowerLetter"/>
      <w:lvlText w:val="%2."/>
      <w:lvlJc w:val="left"/>
      <w:pPr>
        <w:tabs>
          <w:tab w:val="num" w:pos="1440"/>
        </w:tabs>
        <w:ind w:left="1440" w:hanging="360"/>
      </w:pPr>
    </w:lvl>
    <w:lvl w:ilvl="2" w:tplc="A9828776" w:tentative="1">
      <w:start w:val="1"/>
      <w:numFmt w:val="lowerRoman"/>
      <w:lvlText w:val="%3."/>
      <w:lvlJc w:val="right"/>
      <w:pPr>
        <w:tabs>
          <w:tab w:val="num" w:pos="2160"/>
        </w:tabs>
        <w:ind w:left="2160" w:hanging="180"/>
      </w:pPr>
    </w:lvl>
    <w:lvl w:ilvl="3" w:tplc="3208D540" w:tentative="1">
      <w:start w:val="1"/>
      <w:numFmt w:val="decimal"/>
      <w:lvlText w:val="%4."/>
      <w:lvlJc w:val="left"/>
      <w:pPr>
        <w:tabs>
          <w:tab w:val="num" w:pos="2880"/>
        </w:tabs>
        <w:ind w:left="2880" w:hanging="360"/>
      </w:pPr>
    </w:lvl>
    <w:lvl w:ilvl="4" w:tplc="83386094" w:tentative="1">
      <w:start w:val="1"/>
      <w:numFmt w:val="lowerLetter"/>
      <w:lvlText w:val="%5."/>
      <w:lvlJc w:val="left"/>
      <w:pPr>
        <w:tabs>
          <w:tab w:val="num" w:pos="3600"/>
        </w:tabs>
        <w:ind w:left="3600" w:hanging="360"/>
      </w:pPr>
    </w:lvl>
    <w:lvl w:ilvl="5" w:tplc="826CD144" w:tentative="1">
      <w:start w:val="1"/>
      <w:numFmt w:val="lowerRoman"/>
      <w:lvlText w:val="%6."/>
      <w:lvlJc w:val="right"/>
      <w:pPr>
        <w:tabs>
          <w:tab w:val="num" w:pos="4320"/>
        </w:tabs>
        <w:ind w:left="4320" w:hanging="180"/>
      </w:pPr>
    </w:lvl>
    <w:lvl w:ilvl="6" w:tplc="9C4EF3EC" w:tentative="1">
      <w:start w:val="1"/>
      <w:numFmt w:val="decimal"/>
      <w:lvlText w:val="%7."/>
      <w:lvlJc w:val="left"/>
      <w:pPr>
        <w:tabs>
          <w:tab w:val="num" w:pos="5040"/>
        </w:tabs>
        <w:ind w:left="5040" w:hanging="360"/>
      </w:pPr>
    </w:lvl>
    <w:lvl w:ilvl="7" w:tplc="48CAF3A2" w:tentative="1">
      <w:start w:val="1"/>
      <w:numFmt w:val="lowerLetter"/>
      <w:lvlText w:val="%8."/>
      <w:lvlJc w:val="left"/>
      <w:pPr>
        <w:tabs>
          <w:tab w:val="num" w:pos="5760"/>
        </w:tabs>
        <w:ind w:left="5760" w:hanging="360"/>
      </w:pPr>
    </w:lvl>
    <w:lvl w:ilvl="8" w:tplc="1C564FFC" w:tentative="1">
      <w:start w:val="1"/>
      <w:numFmt w:val="lowerRoman"/>
      <w:lvlText w:val="%9."/>
      <w:lvlJc w:val="right"/>
      <w:pPr>
        <w:tabs>
          <w:tab w:val="num" w:pos="6480"/>
        </w:tabs>
        <w:ind w:left="6480" w:hanging="180"/>
      </w:pPr>
    </w:lvl>
  </w:abstractNum>
  <w:abstractNum w:abstractNumId="29">
    <w:nsid w:val="47AE33E2"/>
    <w:multiLevelType w:val="hybridMultilevel"/>
    <w:tmpl w:val="7C368AC0"/>
    <w:lvl w:ilvl="0" w:tplc="B4082E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7BA6D06"/>
    <w:multiLevelType w:val="hybridMultilevel"/>
    <w:tmpl w:val="9EBE56E2"/>
    <w:lvl w:ilvl="0" w:tplc="80D84432">
      <w:start w:val="1"/>
      <w:numFmt w:val="lowerLetter"/>
      <w:lvlText w:val="%1)"/>
      <w:lvlJc w:val="left"/>
      <w:pPr>
        <w:tabs>
          <w:tab w:val="num" w:pos="720"/>
        </w:tabs>
        <w:ind w:left="720" w:hanging="360"/>
      </w:pPr>
    </w:lvl>
    <w:lvl w:ilvl="1" w:tplc="B640338C" w:tentative="1">
      <w:start w:val="1"/>
      <w:numFmt w:val="lowerLetter"/>
      <w:lvlText w:val="%2."/>
      <w:lvlJc w:val="left"/>
      <w:pPr>
        <w:tabs>
          <w:tab w:val="num" w:pos="1440"/>
        </w:tabs>
        <w:ind w:left="1440" w:hanging="360"/>
      </w:pPr>
    </w:lvl>
    <w:lvl w:ilvl="2" w:tplc="DCAA0488" w:tentative="1">
      <w:start w:val="1"/>
      <w:numFmt w:val="lowerRoman"/>
      <w:lvlText w:val="%3."/>
      <w:lvlJc w:val="right"/>
      <w:pPr>
        <w:tabs>
          <w:tab w:val="num" w:pos="2160"/>
        </w:tabs>
        <w:ind w:left="2160" w:hanging="180"/>
      </w:pPr>
    </w:lvl>
    <w:lvl w:ilvl="3" w:tplc="3DECFD90" w:tentative="1">
      <w:start w:val="1"/>
      <w:numFmt w:val="decimal"/>
      <w:lvlText w:val="%4."/>
      <w:lvlJc w:val="left"/>
      <w:pPr>
        <w:tabs>
          <w:tab w:val="num" w:pos="2880"/>
        </w:tabs>
        <w:ind w:left="2880" w:hanging="360"/>
      </w:pPr>
    </w:lvl>
    <w:lvl w:ilvl="4" w:tplc="04A8F432" w:tentative="1">
      <w:start w:val="1"/>
      <w:numFmt w:val="lowerLetter"/>
      <w:lvlText w:val="%5."/>
      <w:lvlJc w:val="left"/>
      <w:pPr>
        <w:tabs>
          <w:tab w:val="num" w:pos="3600"/>
        </w:tabs>
        <w:ind w:left="3600" w:hanging="360"/>
      </w:pPr>
    </w:lvl>
    <w:lvl w:ilvl="5" w:tplc="C8366080" w:tentative="1">
      <w:start w:val="1"/>
      <w:numFmt w:val="lowerRoman"/>
      <w:lvlText w:val="%6."/>
      <w:lvlJc w:val="right"/>
      <w:pPr>
        <w:tabs>
          <w:tab w:val="num" w:pos="4320"/>
        </w:tabs>
        <w:ind w:left="4320" w:hanging="180"/>
      </w:pPr>
    </w:lvl>
    <w:lvl w:ilvl="6" w:tplc="9BFA481E" w:tentative="1">
      <w:start w:val="1"/>
      <w:numFmt w:val="decimal"/>
      <w:lvlText w:val="%7."/>
      <w:lvlJc w:val="left"/>
      <w:pPr>
        <w:tabs>
          <w:tab w:val="num" w:pos="5040"/>
        </w:tabs>
        <w:ind w:left="5040" w:hanging="360"/>
      </w:pPr>
    </w:lvl>
    <w:lvl w:ilvl="7" w:tplc="3C4A5930" w:tentative="1">
      <w:start w:val="1"/>
      <w:numFmt w:val="lowerLetter"/>
      <w:lvlText w:val="%8."/>
      <w:lvlJc w:val="left"/>
      <w:pPr>
        <w:tabs>
          <w:tab w:val="num" w:pos="5760"/>
        </w:tabs>
        <w:ind w:left="5760" w:hanging="360"/>
      </w:pPr>
    </w:lvl>
    <w:lvl w:ilvl="8" w:tplc="FC1A2A3A" w:tentative="1">
      <w:start w:val="1"/>
      <w:numFmt w:val="lowerRoman"/>
      <w:lvlText w:val="%9."/>
      <w:lvlJc w:val="right"/>
      <w:pPr>
        <w:tabs>
          <w:tab w:val="num" w:pos="6480"/>
        </w:tabs>
        <w:ind w:left="6480" w:hanging="180"/>
      </w:pPr>
    </w:lvl>
  </w:abstractNum>
  <w:abstractNum w:abstractNumId="31">
    <w:nsid w:val="47E67B5B"/>
    <w:multiLevelType w:val="hybridMultilevel"/>
    <w:tmpl w:val="901AB83C"/>
    <w:lvl w:ilvl="0" w:tplc="2F703DC6">
      <w:start w:val="1"/>
      <w:numFmt w:val="bullet"/>
      <w:lvlText w:val=""/>
      <w:legacy w:legacy="1" w:legacySpace="0" w:legacyIndent="360"/>
      <w:lvlJc w:val="left"/>
      <w:pPr>
        <w:ind w:left="360" w:hanging="360"/>
      </w:pPr>
      <w:rPr>
        <w:rFonts w:ascii="Symbol" w:hAnsi="Symbol" w:hint="default"/>
      </w:rPr>
    </w:lvl>
    <w:lvl w:ilvl="1" w:tplc="29A643F0" w:tentative="1">
      <w:start w:val="1"/>
      <w:numFmt w:val="bullet"/>
      <w:lvlText w:val="o"/>
      <w:lvlJc w:val="left"/>
      <w:pPr>
        <w:tabs>
          <w:tab w:val="num" w:pos="1440"/>
        </w:tabs>
        <w:ind w:left="1440" w:hanging="360"/>
      </w:pPr>
      <w:rPr>
        <w:rFonts w:ascii="Courier New" w:hAnsi="Courier New" w:hint="default"/>
      </w:rPr>
    </w:lvl>
    <w:lvl w:ilvl="2" w:tplc="9BBAB6C2" w:tentative="1">
      <w:start w:val="1"/>
      <w:numFmt w:val="bullet"/>
      <w:lvlText w:val=""/>
      <w:lvlJc w:val="left"/>
      <w:pPr>
        <w:tabs>
          <w:tab w:val="num" w:pos="2160"/>
        </w:tabs>
        <w:ind w:left="2160" w:hanging="360"/>
      </w:pPr>
      <w:rPr>
        <w:rFonts w:ascii="Wingdings" w:hAnsi="Wingdings" w:hint="default"/>
      </w:rPr>
    </w:lvl>
    <w:lvl w:ilvl="3" w:tplc="B59CD86E" w:tentative="1">
      <w:start w:val="1"/>
      <w:numFmt w:val="bullet"/>
      <w:lvlText w:val=""/>
      <w:lvlJc w:val="left"/>
      <w:pPr>
        <w:tabs>
          <w:tab w:val="num" w:pos="2880"/>
        </w:tabs>
        <w:ind w:left="2880" w:hanging="360"/>
      </w:pPr>
      <w:rPr>
        <w:rFonts w:ascii="Symbol" w:hAnsi="Symbol" w:hint="default"/>
      </w:rPr>
    </w:lvl>
    <w:lvl w:ilvl="4" w:tplc="A0F8C318" w:tentative="1">
      <w:start w:val="1"/>
      <w:numFmt w:val="bullet"/>
      <w:lvlText w:val="o"/>
      <w:lvlJc w:val="left"/>
      <w:pPr>
        <w:tabs>
          <w:tab w:val="num" w:pos="3600"/>
        </w:tabs>
        <w:ind w:left="3600" w:hanging="360"/>
      </w:pPr>
      <w:rPr>
        <w:rFonts w:ascii="Courier New" w:hAnsi="Courier New" w:hint="default"/>
      </w:rPr>
    </w:lvl>
    <w:lvl w:ilvl="5" w:tplc="029C56BA" w:tentative="1">
      <w:start w:val="1"/>
      <w:numFmt w:val="bullet"/>
      <w:lvlText w:val=""/>
      <w:lvlJc w:val="left"/>
      <w:pPr>
        <w:tabs>
          <w:tab w:val="num" w:pos="4320"/>
        </w:tabs>
        <w:ind w:left="4320" w:hanging="360"/>
      </w:pPr>
      <w:rPr>
        <w:rFonts w:ascii="Wingdings" w:hAnsi="Wingdings" w:hint="default"/>
      </w:rPr>
    </w:lvl>
    <w:lvl w:ilvl="6" w:tplc="89F299CE" w:tentative="1">
      <w:start w:val="1"/>
      <w:numFmt w:val="bullet"/>
      <w:lvlText w:val=""/>
      <w:lvlJc w:val="left"/>
      <w:pPr>
        <w:tabs>
          <w:tab w:val="num" w:pos="5040"/>
        </w:tabs>
        <w:ind w:left="5040" w:hanging="360"/>
      </w:pPr>
      <w:rPr>
        <w:rFonts w:ascii="Symbol" w:hAnsi="Symbol" w:hint="default"/>
      </w:rPr>
    </w:lvl>
    <w:lvl w:ilvl="7" w:tplc="E38AD510" w:tentative="1">
      <w:start w:val="1"/>
      <w:numFmt w:val="bullet"/>
      <w:lvlText w:val="o"/>
      <w:lvlJc w:val="left"/>
      <w:pPr>
        <w:tabs>
          <w:tab w:val="num" w:pos="5760"/>
        </w:tabs>
        <w:ind w:left="5760" w:hanging="360"/>
      </w:pPr>
      <w:rPr>
        <w:rFonts w:ascii="Courier New" w:hAnsi="Courier New" w:hint="default"/>
      </w:rPr>
    </w:lvl>
    <w:lvl w:ilvl="8" w:tplc="486246D0" w:tentative="1">
      <w:start w:val="1"/>
      <w:numFmt w:val="bullet"/>
      <w:lvlText w:val=""/>
      <w:lvlJc w:val="left"/>
      <w:pPr>
        <w:tabs>
          <w:tab w:val="num" w:pos="6480"/>
        </w:tabs>
        <w:ind w:left="6480" w:hanging="360"/>
      </w:pPr>
      <w:rPr>
        <w:rFonts w:ascii="Wingdings" w:hAnsi="Wingdings" w:hint="default"/>
      </w:rPr>
    </w:lvl>
  </w:abstractNum>
  <w:abstractNum w:abstractNumId="32">
    <w:nsid w:val="4A393CB8"/>
    <w:multiLevelType w:val="hybridMultilevel"/>
    <w:tmpl w:val="32543C8A"/>
    <w:lvl w:ilvl="0" w:tplc="874E2F0E">
      <w:start w:val="1"/>
      <w:numFmt w:val="lowerLetter"/>
      <w:lvlText w:val="(%1)"/>
      <w:lvlJc w:val="left"/>
      <w:pPr>
        <w:ind w:left="1212"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4DA61FC0"/>
    <w:multiLevelType w:val="hybridMultilevel"/>
    <w:tmpl w:val="645E0A68"/>
    <w:lvl w:ilvl="0" w:tplc="D792AAC6">
      <w:start w:val="1"/>
      <w:numFmt w:val="lowerLetter"/>
      <w:lvlText w:val="%1)"/>
      <w:lvlJc w:val="left"/>
      <w:pPr>
        <w:tabs>
          <w:tab w:val="num" w:pos="720"/>
        </w:tabs>
        <w:ind w:left="720" w:hanging="360"/>
      </w:pPr>
    </w:lvl>
    <w:lvl w:ilvl="1" w:tplc="0DEEADB2" w:tentative="1">
      <w:start w:val="1"/>
      <w:numFmt w:val="lowerLetter"/>
      <w:lvlText w:val="%2."/>
      <w:lvlJc w:val="left"/>
      <w:pPr>
        <w:tabs>
          <w:tab w:val="num" w:pos="1440"/>
        </w:tabs>
        <w:ind w:left="1440" w:hanging="360"/>
      </w:pPr>
    </w:lvl>
    <w:lvl w:ilvl="2" w:tplc="1EFC3542" w:tentative="1">
      <w:start w:val="1"/>
      <w:numFmt w:val="lowerRoman"/>
      <w:lvlText w:val="%3."/>
      <w:lvlJc w:val="right"/>
      <w:pPr>
        <w:tabs>
          <w:tab w:val="num" w:pos="2160"/>
        </w:tabs>
        <w:ind w:left="2160" w:hanging="180"/>
      </w:pPr>
    </w:lvl>
    <w:lvl w:ilvl="3" w:tplc="71D2099A" w:tentative="1">
      <w:start w:val="1"/>
      <w:numFmt w:val="decimal"/>
      <w:lvlText w:val="%4."/>
      <w:lvlJc w:val="left"/>
      <w:pPr>
        <w:tabs>
          <w:tab w:val="num" w:pos="2880"/>
        </w:tabs>
        <w:ind w:left="2880" w:hanging="360"/>
      </w:pPr>
    </w:lvl>
    <w:lvl w:ilvl="4" w:tplc="DA4E6D44" w:tentative="1">
      <w:start w:val="1"/>
      <w:numFmt w:val="lowerLetter"/>
      <w:lvlText w:val="%5."/>
      <w:lvlJc w:val="left"/>
      <w:pPr>
        <w:tabs>
          <w:tab w:val="num" w:pos="3600"/>
        </w:tabs>
        <w:ind w:left="3600" w:hanging="360"/>
      </w:pPr>
    </w:lvl>
    <w:lvl w:ilvl="5" w:tplc="21B0D5A8" w:tentative="1">
      <w:start w:val="1"/>
      <w:numFmt w:val="lowerRoman"/>
      <w:lvlText w:val="%6."/>
      <w:lvlJc w:val="right"/>
      <w:pPr>
        <w:tabs>
          <w:tab w:val="num" w:pos="4320"/>
        </w:tabs>
        <w:ind w:left="4320" w:hanging="180"/>
      </w:pPr>
    </w:lvl>
    <w:lvl w:ilvl="6" w:tplc="351866DC" w:tentative="1">
      <w:start w:val="1"/>
      <w:numFmt w:val="decimal"/>
      <w:lvlText w:val="%7."/>
      <w:lvlJc w:val="left"/>
      <w:pPr>
        <w:tabs>
          <w:tab w:val="num" w:pos="5040"/>
        </w:tabs>
        <w:ind w:left="5040" w:hanging="360"/>
      </w:pPr>
    </w:lvl>
    <w:lvl w:ilvl="7" w:tplc="9B0E0A74" w:tentative="1">
      <w:start w:val="1"/>
      <w:numFmt w:val="lowerLetter"/>
      <w:lvlText w:val="%8."/>
      <w:lvlJc w:val="left"/>
      <w:pPr>
        <w:tabs>
          <w:tab w:val="num" w:pos="5760"/>
        </w:tabs>
        <w:ind w:left="5760" w:hanging="360"/>
      </w:pPr>
    </w:lvl>
    <w:lvl w:ilvl="8" w:tplc="3DB826FE" w:tentative="1">
      <w:start w:val="1"/>
      <w:numFmt w:val="lowerRoman"/>
      <w:lvlText w:val="%9."/>
      <w:lvlJc w:val="right"/>
      <w:pPr>
        <w:tabs>
          <w:tab w:val="num" w:pos="6480"/>
        </w:tabs>
        <w:ind w:left="6480" w:hanging="180"/>
      </w:pPr>
    </w:lvl>
  </w:abstractNum>
  <w:abstractNum w:abstractNumId="34">
    <w:nsid w:val="4F7213E2"/>
    <w:multiLevelType w:val="hybridMultilevel"/>
    <w:tmpl w:val="08D8AD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50C9770A"/>
    <w:multiLevelType w:val="hybridMultilevel"/>
    <w:tmpl w:val="A3F8070C"/>
    <w:lvl w:ilvl="0" w:tplc="874E2F0E">
      <w:start w:val="1"/>
      <w:numFmt w:val="lowerLetter"/>
      <w:lvlText w:val="(%1)"/>
      <w:lvlJc w:val="left"/>
      <w:pPr>
        <w:ind w:left="852" w:hanging="420"/>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36">
    <w:nsid w:val="515868ED"/>
    <w:multiLevelType w:val="hybridMultilevel"/>
    <w:tmpl w:val="4A202AE8"/>
    <w:lvl w:ilvl="0" w:tplc="32960FDE">
      <w:start w:val="1"/>
      <w:numFmt w:val="bullet"/>
      <w:lvlText w:val=""/>
      <w:lvlJc w:val="left"/>
      <w:pPr>
        <w:tabs>
          <w:tab w:val="num" w:pos="360"/>
        </w:tabs>
        <w:ind w:left="360" w:hanging="360"/>
      </w:pPr>
      <w:rPr>
        <w:rFonts w:ascii="Symbol" w:hAnsi="Symbol" w:hint="default"/>
      </w:rPr>
    </w:lvl>
    <w:lvl w:ilvl="1" w:tplc="1722C5D2">
      <w:start w:val="1"/>
      <w:numFmt w:val="bullet"/>
      <w:lvlText w:val=""/>
      <w:lvlJc w:val="left"/>
      <w:pPr>
        <w:tabs>
          <w:tab w:val="num" w:pos="1944"/>
        </w:tabs>
        <w:ind w:left="1944" w:hanging="360"/>
      </w:pPr>
      <w:rPr>
        <w:rFonts w:ascii="Symbol" w:hAnsi="Symbol" w:hint="default"/>
      </w:rPr>
    </w:lvl>
    <w:lvl w:ilvl="2" w:tplc="9F785D38" w:tentative="1">
      <w:start w:val="1"/>
      <w:numFmt w:val="bullet"/>
      <w:lvlText w:val=""/>
      <w:lvlJc w:val="left"/>
      <w:pPr>
        <w:tabs>
          <w:tab w:val="num" w:pos="2664"/>
        </w:tabs>
        <w:ind w:left="2664" w:hanging="360"/>
      </w:pPr>
      <w:rPr>
        <w:rFonts w:ascii="Wingdings" w:hAnsi="Wingdings" w:hint="default"/>
      </w:rPr>
    </w:lvl>
    <w:lvl w:ilvl="3" w:tplc="912CDA6C" w:tentative="1">
      <w:start w:val="1"/>
      <w:numFmt w:val="bullet"/>
      <w:lvlText w:val=""/>
      <w:lvlJc w:val="left"/>
      <w:pPr>
        <w:tabs>
          <w:tab w:val="num" w:pos="3384"/>
        </w:tabs>
        <w:ind w:left="3384" w:hanging="360"/>
      </w:pPr>
      <w:rPr>
        <w:rFonts w:ascii="Symbol" w:hAnsi="Symbol" w:hint="default"/>
      </w:rPr>
    </w:lvl>
    <w:lvl w:ilvl="4" w:tplc="11822E64" w:tentative="1">
      <w:start w:val="1"/>
      <w:numFmt w:val="bullet"/>
      <w:lvlText w:val="o"/>
      <w:lvlJc w:val="left"/>
      <w:pPr>
        <w:tabs>
          <w:tab w:val="num" w:pos="4104"/>
        </w:tabs>
        <w:ind w:left="4104" w:hanging="360"/>
      </w:pPr>
      <w:rPr>
        <w:rFonts w:ascii="Courier New" w:hAnsi="Courier New" w:hint="default"/>
      </w:rPr>
    </w:lvl>
    <w:lvl w:ilvl="5" w:tplc="278A1E0E" w:tentative="1">
      <w:start w:val="1"/>
      <w:numFmt w:val="bullet"/>
      <w:lvlText w:val=""/>
      <w:lvlJc w:val="left"/>
      <w:pPr>
        <w:tabs>
          <w:tab w:val="num" w:pos="4824"/>
        </w:tabs>
        <w:ind w:left="4824" w:hanging="360"/>
      </w:pPr>
      <w:rPr>
        <w:rFonts w:ascii="Wingdings" w:hAnsi="Wingdings" w:hint="default"/>
      </w:rPr>
    </w:lvl>
    <w:lvl w:ilvl="6" w:tplc="4D4CC14C" w:tentative="1">
      <w:start w:val="1"/>
      <w:numFmt w:val="bullet"/>
      <w:lvlText w:val=""/>
      <w:lvlJc w:val="left"/>
      <w:pPr>
        <w:tabs>
          <w:tab w:val="num" w:pos="5544"/>
        </w:tabs>
        <w:ind w:left="5544" w:hanging="360"/>
      </w:pPr>
      <w:rPr>
        <w:rFonts w:ascii="Symbol" w:hAnsi="Symbol" w:hint="default"/>
      </w:rPr>
    </w:lvl>
    <w:lvl w:ilvl="7" w:tplc="2B3023E4" w:tentative="1">
      <w:start w:val="1"/>
      <w:numFmt w:val="bullet"/>
      <w:lvlText w:val="o"/>
      <w:lvlJc w:val="left"/>
      <w:pPr>
        <w:tabs>
          <w:tab w:val="num" w:pos="6264"/>
        </w:tabs>
        <w:ind w:left="6264" w:hanging="360"/>
      </w:pPr>
      <w:rPr>
        <w:rFonts w:ascii="Courier New" w:hAnsi="Courier New" w:hint="default"/>
      </w:rPr>
    </w:lvl>
    <w:lvl w:ilvl="8" w:tplc="284C6912" w:tentative="1">
      <w:start w:val="1"/>
      <w:numFmt w:val="bullet"/>
      <w:lvlText w:val=""/>
      <w:lvlJc w:val="left"/>
      <w:pPr>
        <w:tabs>
          <w:tab w:val="num" w:pos="6984"/>
        </w:tabs>
        <w:ind w:left="6984" w:hanging="360"/>
      </w:pPr>
      <w:rPr>
        <w:rFonts w:ascii="Wingdings" w:hAnsi="Wingdings" w:hint="default"/>
      </w:rPr>
    </w:lvl>
  </w:abstractNum>
  <w:abstractNum w:abstractNumId="37">
    <w:nsid w:val="52137A0D"/>
    <w:multiLevelType w:val="hybridMultilevel"/>
    <w:tmpl w:val="119023E6"/>
    <w:lvl w:ilvl="0" w:tplc="AA0616DA">
      <w:start w:val="1"/>
      <w:numFmt w:val="lowerLetter"/>
      <w:lvlText w:val="%1)"/>
      <w:lvlJc w:val="left"/>
      <w:pPr>
        <w:tabs>
          <w:tab w:val="num" w:pos="720"/>
        </w:tabs>
        <w:ind w:left="720" w:hanging="360"/>
      </w:pPr>
    </w:lvl>
    <w:lvl w:ilvl="1" w:tplc="259E8270" w:tentative="1">
      <w:start w:val="1"/>
      <w:numFmt w:val="lowerLetter"/>
      <w:lvlText w:val="%2."/>
      <w:lvlJc w:val="left"/>
      <w:pPr>
        <w:tabs>
          <w:tab w:val="num" w:pos="1440"/>
        </w:tabs>
        <w:ind w:left="1440" w:hanging="360"/>
      </w:pPr>
    </w:lvl>
    <w:lvl w:ilvl="2" w:tplc="8714A032" w:tentative="1">
      <w:start w:val="1"/>
      <w:numFmt w:val="lowerRoman"/>
      <w:lvlText w:val="%3."/>
      <w:lvlJc w:val="right"/>
      <w:pPr>
        <w:tabs>
          <w:tab w:val="num" w:pos="2160"/>
        </w:tabs>
        <w:ind w:left="2160" w:hanging="180"/>
      </w:pPr>
    </w:lvl>
    <w:lvl w:ilvl="3" w:tplc="2B30347C" w:tentative="1">
      <w:start w:val="1"/>
      <w:numFmt w:val="decimal"/>
      <w:lvlText w:val="%4."/>
      <w:lvlJc w:val="left"/>
      <w:pPr>
        <w:tabs>
          <w:tab w:val="num" w:pos="2880"/>
        </w:tabs>
        <w:ind w:left="2880" w:hanging="360"/>
      </w:pPr>
    </w:lvl>
    <w:lvl w:ilvl="4" w:tplc="EB025020" w:tentative="1">
      <w:start w:val="1"/>
      <w:numFmt w:val="lowerLetter"/>
      <w:lvlText w:val="%5."/>
      <w:lvlJc w:val="left"/>
      <w:pPr>
        <w:tabs>
          <w:tab w:val="num" w:pos="3600"/>
        </w:tabs>
        <w:ind w:left="3600" w:hanging="360"/>
      </w:pPr>
    </w:lvl>
    <w:lvl w:ilvl="5" w:tplc="591C02BC" w:tentative="1">
      <w:start w:val="1"/>
      <w:numFmt w:val="lowerRoman"/>
      <w:lvlText w:val="%6."/>
      <w:lvlJc w:val="right"/>
      <w:pPr>
        <w:tabs>
          <w:tab w:val="num" w:pos="4320"/>
        </w:tabs>
        <w:ind w:left="4320" w:hanging="180"/>
      </w:pPr>
    </w:lvl>
    <w:lvl w:ilvl="6" w:tplc="4CD0168C" w:tentative="1">
      <w:start w:val="1"/>
      <w:numFmt w:val="decimal"/>
      <w:lvlText w:val="%7."/>
      <w:lvlJc w:val="left"/>
      <w:pPr>
        <w:tabs>
          <w:tab w:val="num" w:pos="5040"/>
        </w:tabs>
        <w:ind w:left="5040" w:hanging="360"/>
      </w:pPr>
    </w:lvl>
    <w:lvl w:ilvl="7" w:tplc="6D1A1B54" w:tentative="1">
      <w:start w:val="1"/>
      <w:numFmt w:val="lowerLetter"/>
      <w:lvlText w:val="%8."/>
      <w:lvlJc w:val="left"/>
      <w:pPr>
        <w:tabs>
          <w:tab w:val="num" w:pos="5760"/>
        </w:tabs>
        <w:ind w:left="5760" w:hanging="360"/>
      </w:pPr>
    </w:lvl>
    <w:lvl w:ilvl="8" w:tplc="C588A812" w:tentative="1">
      <w:start w:val="1"/>
      <w:numFmt w:val="lowerRoman"/>
      <w:lvlText w:val="%9."/>
      <w:lvlJc w:val="right"/>
      <w:pPr>
        <w:tabs>
          <w:tab w:val="num" w:pos="6480"/>
        </w:tabs>
        <w:ind w:left="6480" w:hanging="180"/>
      </w:pPr>
    </w:lvl>
  </w:abstractNum>
  <w:abstractNum w:abstractNumId="38">
    <w:nsid w:val="52B53C3F"/>
    <w:multiLevelType w:val="hybridMultilevel"/>
    <w:tmpl w:val="2CB6BA56"/>
    <w:lvl w:ilvl="0" w:tplc="0F4C3194">
      <w:start w:val="1"/>
      <w:numFmt w:val="upperLetter"/>
      <w:lvlText w:val="(%1)"/>
      <w:lvlJc w:val="left"/>
      <w:pPr>
        <w:tabs>
          <w:tab w:val="num" w:pos="720"/>
        </w:tabs>
        <w:ind w:left="720" w:hanging="720"/>
      </w:pPr>
      <w:rPr>
        <w:rFonts w:hint="default"/>
      </w:rPr>
    </w:lvl>
    <w:lvl w:ilvl="1" w:tplc="224037D0">
      <w:start w:val="4"/>
      <w:numFmt w:val="lowerLetter"/>
      <w:lvlText w:val="(%2)"/>
      <w:lvlJc w:val="left"/>
      <w:pPr>
        <w:tabs>
          <w:tab w:val="num" w:pos="1125"/>
        </w:tabs>
        <w:ind w:left="1125" w:hanging="405"/>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9">
    <w:nsid w:val="567054AA"/>
    <w:multiLevelType w:val="hybridMultilevel"/>
    <w:tmpl w:val="C054DFC4"/>
    <w:lvl w:ilvl="0" w:tplc="190C3884">
      <w:start w:val="1"/>
      <w:numFmt w:val="bullet"/>
      <w:lvlText w:val=""/>
      <w:lvlJc w:val="left"/>
      <w:pPr>
        <w:tabs>
          <w:tab w:val="num" w:pos="360"/>
        </w:tabs>
        <w:ind w:left="360" w:hanging="360"/>
      </w:pPr>
      <w:rPr>
        <w:rFonts w:ascii="Symbol" w:hAnsi="Symbol" w:hint="default"/>
      </w:rPr>
    </w:lvl>
    <w:lvl w:ilvl="1" w:tplc="89CC0142">
      <w:start w:val="1"/>
      <w:numFmt w:val="bullet"/>
      <w:lvlText w:val="o"/>
      <w:lvlJc w:val="left"/>
      <w:pPr>
        <w:tabs>
          <w:tab w:val="num" w:pos="1080"/>
        </w:tabs>
        <w:ind w:left="1080" w:hanging="360"/>
      </w:pPr>
      <w:rPr>
        <w:rFonts w:ascii="Courier New" w:hAnsi="Courier New" w:hint="default"/>
      </w:rPr>
    </w:lvl>
    <w:lvl w:ilvl="2" w:tplc="7F8A5308" w:tentative="1">
      <w:start w:val="1"/>
      <w:numFmt w:val="bullet"/>
      <w:lvlText w:val=""/>
      <w:lvlJc w:val="left"/>
      <w:pPr>
        <w:tabs>
          <w:tab w:val="num" w:pos="1800"/>
        </w:tabs>
        <w:ind w:left="1800" w:hanging="360"/>
      </w:pPr>
      <w:rPr>
        <w:rFonts w:ascii="Wingdings" w:hAnsi="Wingdings" w:hint="default"/>
      </w:rPr>
    </w:lvl>
    <w:lvl w:ilvl="3" w:tplc="CBD40368" w:tentative="1">
      <w:start w:val="1"/>
      <w:numFmt w:val="bullet"/>
      <w:lvlText w:val=""/>
      <w:lvlJc w:val="left"/>
      <w:pPr>
        <w:tabs>
          <w:tab w:val="num" w:pos="2520"/>
        </w:tabs>
        <w:ind w:left="2520" w:hanging="360"/>
      </w:pPr>
      <w:rPr>
        <w:rFonts w:ascii="Symbol" w:hAnsi="Symbol" w:hint="default"/>
      </w:rPr>
    </w:lvl>
    <w:lvl w:ilvl="4" w:tplc="1DCCA5A0" w:tentative="1">
      <w:start w:val="1"/>
      <w:numFmt w:val="bullet"/>
      <w:lvlText w:val="o"/>
      <w:lvlJc w:val="left"/>
      <w:pPr>
        <w:tabs>
          <w:tab w:val="num" w:pos="3240"/>
        </w:tabs>
        <w:ind w:left="3240" w:hanging="360"/>
      </w:pPr>
      <w:rPr>
        <w:rFonts w:ascii="Courier New" w:hAnsi="Courier New" w:hint="default"/>
      </w:rPr>
    </w:lvl>
    <w:lvl w:ilvl="5" w:tplc="93022E02" w:tentative="1">
      <w:start w:val="1"/>
      <w:numFmt w:val="bullet"/>
      <w:lvlText w:val=""/>
      <w:lvlJc w:val="left"/>
      <w:pPr>
        <w:tabs>
          <w:tab w:val="num" w:pos="3960"/>
        </w:tabs>
        <w:ind w:left="3960" w:hanging="360"/>
      </w:pPr>
      <w:rPr>
        <w:rFonts w:ascii="Wingdings" w:hAnsi="Wingdings" w:hint="default"/>
      </w:rPr>
    </w:lvl>
    <w:lvl w:ilvl="6" w:tplc="63A89E46" w:tentative="1">
      <w:start w:val="1"/>
      <w:numFmt w:val="bullet"/>
      <w:lvlText w:val=""/>
      <w:lvlJc w:val="left"/>
      <w:pPr>
        <w:tabs>
          <w:tab w:val="num" w:pos="4680"/>
        </w:tabs>
        <w:ind w:left="4680" w:hanging="360"/>
      </w:pPr>
      <w:rPr>
        <w:rFonts w:ascii="Symbol" w:hAnsi="Symbol" w:hint="default"/>
      </w:rPr>
    </w:lvl>
    <w:lvl w:ilvl="7" w:tplc="56CC47AE" w:tentative="1">
      <w:start w:val="1"/>
      <w:numFmt w:val="bullet"/>
      <w:lvlText w:val="o"/>
      <w:lvlJc w:val="left"/>
      <w:pPr>
        <w:tabs>
          <w:tab w:val="num" w:pos="5400"/>
        </w:tabs>
        <w:ind w:left="5400" w:hanging="360"/>
      </w:pPr>
      <w:rPr>
        <w:rFonts w:ascii="Courier New" w:hAnsi="Courier New" w:hint="default"/>
      </w:rPr>
    </w:lvl>
    <w:lvl w:ilvl="8" w:tplc="74F43EFC" w:tentative="1">
      <w:start w:val="1"/>
      <w:numFmt w:val="bullet"/>
      <w:lvlText w:val=""/>
      <w:lvlJc w:val="left"/>
      <w:pPr>
        <w:tabs>
          <w:tab w:val="num" w:pos="6120"/>
        </w:tabs>
        <w:ind w:left="6120" w:hanging="360"/>
      </w:pPr>
      <w:rPr>
        <w:rFonts w:ascii="Wingdings" w:hAnsi="Wingdings" w:hint="default"/>
      </w:rPr>
    </w:lvl>
  </w:abstractNum>
  <w:abstractNum w:abstractNumId="40">
    <w:nsid w:val="59997CB4"/>
    <w:multiLevelType w:val="hybridMultilevel"/>
    <w:tmpl w:val="C52EFDE4"/>
    <w:lvl w:ilvl="0" w:tplc="920EBCFE">
      <w:start w:val="1"/>
      <w:numFmt w:val="bullet"/>
      <w:lvlText w:val=""/>
      <w:lvlJc w:val="left"/>
      <w:pPr>
        <w:tabs>
          <w:tab w:val="num" w:pos="720"/>
        </w:tabs>
        <w:ind w:left="720" w:hanging="360"/>
      </w:pPr>
      <w:rPr>
        <w:rFonts w:ascii="Symbol" w:hAnsi="Symbol" w:hint="default"/>
      </w:rPr>
    </w:lvl>
    <w:lvl w:ilvl="1" w:tplc="FF66876C" w:tentative="1">
      <w:start w:val="1"/>
      <w:numFmt w:val="bullet"/>
      <w:lvlText w:val="o"/>
      <w:lvlJc w:val="left"/>
      <w:pPr>
        <w:tabs>
          <w:tab w:val="num" w:pos="1440"/>
        </w:tabs>
        <w:ind w:left="1440" w:hanging="360"/>
      </w:pPr>
      <w:rPr>
        <w:rFonts w:ascii="Courier New" w:hAnsi="Courier New" w:cs="New York" w:hint="default"/>
      </w:rPr>
    </w:lvl>
    <w:lvl w:ilvl="2" w:tplc="DF32188A" w:tentative="1">
      <w:start w:val="1"/>
      <w:numFmt w:val="bullet"/>
      <w:lvlText w:val=""/>
      <w:lvlJc w:val="left"/>
      <w:pPr>
        <w:tabs>
          <w:tab w:val="num" w:pos="2160"/>
        </w:tabs>
        <w:ind w:left="2160" w:hanging="360"/>
      </w:pPr>
      <w:rPr>
        <w:rFonts w:ascii="Wingdings" w:hAnsi="Wingdings" w:hint="default"/>
      </w:rPr>
    </w:lvl>
    <w:lvl w:ilvl="3" w:tplc="C682E5E2" w:tentative="1">
      <w:start w:val="1"/>
      <w:numFmt w:val="bullet"/>
      <w:lvlText w:val=""/>
      <w:lvlJc w:val="left"/>
      <w:pPr>
        <w:tabs>
          <w:tab w:val="num" w:pos="2880"/>
        </w:tabs>
        <w:ind w:left="2880" w:hanging="360"/>
      </w:pPr>
      <w:rPr>
        <w:rFonts w:ascii="Symbol" w:hAnsi="Symbol" w:hint="default"/>
      </w:rPr>
    </w:lvl>
    <w:lvl w:ilvl="4" w:tplc="9E92DE16" w:tentative="1">
      <w:start w:val="1"/>
      <w:numFmt w:val="bullet"/>
      <w:lvlText w:val="o"/>
      <w:lvlJc w:val="left"/>
      <w:pPr>
        <w:tabs>
          <w:tab w:val="num" w:pos="3600"/>
        </w:tabs>
        <w:ind w:left="3600" w:hanging="360"/>
      </w:pPr>
      <w:rPr>
        <w:rFonts w:ascii="Courier New" w:hAnsi="Courier New" w:cs="New York" w:hint="default"/>
      </w:rPr>
    </w:lvl>
    <w:lvl w:ilvl="5" w:tplc="767CE0A6" w:tentative="1">
      <w:start w:val="1"/>
      <w:numFmt w:val="bullet"/>
      <w:lvlText w:val=""/>
      <w:lvlJc w:val="left"/>
      <w:pPr>
        <w:tabs>
          <w:tab w:val="num" w:pos="4320"/>
        </w:tabs>
        <w:ind w:left="4320" w:hanging="360"/>
      </w:pPr>
      <w:rPr>
        <w:rFonts w:ascii="Wingdings" w:hAnsi="Wingdings" w:hint="default"/>
      </w:rPr>
    </w:lvl>
    <w:lvl w:ilvl="6" w:tplc="CAF6FAF2" w:tentative="1">
      <w:start w:val="1"/>
      <w:numFmt w:val="bullet"/>
      <w:lvlText w:val=""/>
      <w:lvlJc w:val="left"/>
      <w:pPr>
        <w:tabs>
          <w:tab w:val="num" w:pos="5040"/>
        </w:tabs>
        <w:ind w:left="5040" w:hanging="360"/>
      </w:pPr>
      <w:rPr>
        <w:rFonts w:ascii="Symbol" w:hAnsi="Symbol" w:hint="default"/>
      </w:rPr>
    </w:lvl>
    <w:lvl w:ilvl="7" w:tplc="AEDC9E46" w:tentative="1">
      <w:start w:val="1"/>
      <w:numFmt w:val="bullet"/>
      <w:lvlText w:val="o"/>
      <w:lvlJc w:val="left"/>
      <w:pPr>
        <w:tabs>
          <w:tab w:val="num" w:pos="5760"/>
        </w:tabs>
        <w:ind w:left="5760" w:hanging="360"/>
      </w:pPr>
      <w:rPr>
        <w:rFonts w:ascii="Courier New" w:hAnsi="Courier New" w:cs="New York" w:hint="default"/>
      </w:rPr>
    </w:lvl>
    <w:lvl w:ilvl="8" w:tplc="4A44952A" w:tentative="1">
      <w:start w:val="1"/>
      <w:numFmt w:val="bullet"/>
      <w:lvlText w:val=""/>
      <w:lvlJc w:val="left"/>
      <w:pPr>
        <w:tabs>
          <w:tab w:val="num" w:pos="6480"/>
        </w:tabs>
        <w:ind w:left="6480" w:hanging="360"/>
      </w:pPr>
      <w:rPr>
        <w:rFonts w:ascii="Wingdings" w:hAnsi="Wingdings" w:hint="default"/>
      </w:rPr>
    </w:lvl>
  </w:abstractNum>
  <w:abstractNum w:abstractNumId="41">
    <w:nsid w:val="5D916083"/>
    <w:multiLevelType w:val="hybridMultilevel"/>
    <w:tmpl w:val="81F2C966"/>
    <w:lvl w:ilvl="0" w:tplc="C06CA1B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601546FF"/>
    <w:multiLevelType w:val="hybridMultilevel"/>
    <w:tmpl w:val="9C84E2E0"/>
    <w:lvl w:ilvl="0" w:tplc="6FDCA43A">
      <w:start w:val="1"/>
      <w:numFmt w:val="bullet"/>
      <w:lvlText w:val=""/>
      <w:lvlJc w:val="left"/>
      <w:pPr>
        <w:tabs>
          <w:tab w:val="num" w:pos="720"/>
        </w:tabs>
        <w:ind w:left="720" w:hanging="360"/>
      </w:pPr>
      <w:rPr>
        <w:rFonts w:ascii="Symbol" w:hAnsi="Symbol" w:hint="default"/>
      </w:rPr>
    </w:lvl>
    <w:lvl w:ilvl="1" w:tplc="EA1E36BC" w:tentative="1">
      <w:start w:val="1"/>
      <w:numFmt w:val="bullet"/>
      <w:lvlText w:val="o"/>
      <w:lvlJc w:val="left"/>
      <w:pPr>
        <w:tabs>
          <w:tab w:val="num" w:pos="1440"/>
        </w:tabs>
        <w:ind w:left="1440" w:hanging="360"/>
      </w:pPr>
      <w:rPr>
        <w:rFonts w:ascii="Courier New" w:hAnsi="Courier New" w:hint="default"/>
      </w:rPr>
    </w:lvl>
    <w:lvl w:ilvl="2" w:tplc="27229D60" w:tentative="1">
      <w:start w:val="1"/>
      <w:numFmt w:val="bullet"/>
      <w:lvlText w:val=""/>
      <w:lvlJc w:val="left"/>
      <w:pPr>
        <w:tabs>
          <w:tab w:val="num" w:pos="2160"/>
        </w:tabs>
        <w:ind w:left="2160" w:hanging="360"/>
      </w:pPr>
      <w:rPr>
        <w:rFonts w:ascii="Wingdings" w:hAnsi="Wingdings" w:hint="default"/>
      </w:rPr>
    </w:lvl>
    <w:lvl w:ilvl="3" w:tplc="1A6ABCA0" w:tentative="1">
      <w:start w:val="1"/>
      <w:numFmt w:val="bullet"/>
      <w:lvlText w:val=""/>
      <w:lvlJc w:val="left"/>
      <w:pPr>
        <w:tabs>
          <w:tab w:val="num" w:pos="2880"/>
        </w:tabs>
        <w:ind w:left="2880" w:hanging="360"/>
      </w:pPr>
      <w:rPr>
        <w:rFonts w:ascii="Symbol" w:hAnsi="Symbol" w:hint="default"/>
      </w:rPr>
    </w:lvl>
    <w:lvl w:ilvl="4" w:tplc="F2A8D382" w:tentative="1">
      <w:start w:val="1"/>
      <w:numFmt w:val="bullet"/>
      <w:lvlText w:val="o"/>
      <w:lvlJc w:val="left"/>
      <w:pPr>
        <w:tabs>
          <w:tab w:val="num" w:pos="3600"/>
        </w:tabs>
        <w:ind w:left="3600" w:hanging="360"/>
      </w:pPr>
      <w:rPr>
        <w:rFonts w:ascii="Courier New" w:hAnsi="Courier New" w:hint="default"/>
      </w:rPr>
    </w:lvl>
    <w:lvl w:ilvl="5" w:tplc="A346453E" w:tentative="1">
      <w:start w:val="1"/>
      <w:numFmt w:val="bullet"/>
      <w:lvlText w:val=""/>
      <w:lvlJc w:val="left"/>
      <w:pPr>
        <w:tabs>
          <w:tab w:val="num" w:pos="4320"/>
        </w:tabs>
        <w:ind w:left="4320" w:hanging="360"/>
      </w:pPr>
      <w:rPr>
        <w:rFonts w:ascii="Wingdings" w:hAnsi="Wingdings" w:hint="default"/>
      </w:rPr>
    </w:lvl>
    <w:lvl w:ilvl="6" w:tplc="BF966D86" w:tentative="1">
      <w:start w:val="1"/>
      <w:numFmt w:val="bullet"/>
      <w:lvlText w:val=""/>
      <w:lvlJc w:val="left"/>
      <w:pPr>
        <w:tabs>
          <w:tab w:val="num" w:pos="5040"/>
        </w:tabs>
        <w:ind w:left="5040" w:hanging="360"/>
      </w:pPr>
      <w:rPr>
        <w:rFonts w:ascii="Symbol" w:hAnsi="Symbol" w:hint="default"/>
      </w:rPr>
    </w:lvl>
    <w:lvl w:ilvl="7" w:tplc="21E0D0AA" w:tentative="1">
      <w:start w:val="1"/>
      <w:numFmt w:val="bullet"/>
      <w:lvlText w:val="o"/>
      <w:lvlJc w:val="left"/>
      <w:pPr>
        <w:tabs>
          <w:tab w:val="num" w:pos="5760"/>
        </w:tabs>
        <w:ind w:left="5760" w:hanging="360"/>
      </w:pPr>
      <w:rPr>
        <w:rFonts w:ascii="Courier New" w:hAnsi="Courier New" w:hint="default"/>
      </w:rPr>
    </w:lvl>
    <w:lvl w:ilvl="8" w:tplc="96629C60" w:tentative="1">
      <w:start w:val="1"/>
      <w:numFmt w:val="bullet"/>
      <w:lvlText w:val=""/>
      <w:lvlJc w:val="left"/>
      <w:pPr>
        <w:tabs>
          <w:tab w:val="num" w:pos="6480"/>
        </w:tabs>
        <w:ind w:left="6480" w:hanging="360"/>
      </w:pPr>
      <w:rPr>
        <w:rFonts w:ascii="Wingdings" w:hAnsi="Wingdings" w:hint="default"/>
      </w:rPr>
    </w:lvl>
  </w:abstractNum>
  <w:abstractNum w:abstractNumId="43">
    <w:nsid w:val="624E206C"/>
    <w:multiLevelType w:val="hybridMultilevel"/>
    <w:tmpl w:val="0E288512"/>
    <w:lvl w:ilvl="0" w:tplc="C06CA1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63BF5E15"/>
    <w:multiLevelType w:val="hybridMultilevel"/>
    <w:tmpl w:val="107CD106"/>
    <w:lvl w:ilvl="0" w:tplc="B4082E02">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5">
    <w:nsid w:val="64194C38"/>
    <w:multiLevelType w:val="hybridMultilevel"/>
    <w:tmpl w:val="DA429F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64347D16"/>
    <w:multiLevelType w:val="hybridMultilevel"/>
    <w:tmpl w:val="1C16BFC6"/>
    <w:lvl w:ilvl="0" w:tplc="4BF0BA0E">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44D39C0"/>
    <w:multiLevelType w:val="hybridMultilevel"/>
    <w:tmpl w:val="5B789A58"/>
    <w:lvl w:ilvl="0" w:tplc="3C40B4C4">
      <w:start w:val="1"/>
      <w:numFmt w:val="bullet"/>
      <w:lvlText w:val=""/>
      <w:lvlJc w:val="left"/>
      <w:pPr>
        <w:tabs>
          <w:tab w:val="num" w:pos="720"/>
        </w:tabs>
        <w:ind w:left="720" w:hanging="360"/>
      </w:pPr>
      <w:rPr>
        <w:rFonts w:ascii="Symbol" w:hAnsi="Symbol" w:hint="default"/>
      </w:rPr>
    </w:lvl>
    <w:lvl w:ilvl="1" w:tplc="58006E8A" w:tentative="1">
      <w:start w:val="1"/>
      <w:numFmt w:val="bullet"/>
      <w:lvlText w:val="o"/>
      <w:lvlJc w:val="left"/>
      <w:pPr>
        <w:tabs>
          <w:tab w:val="num" w:pos="1800"/>
        </w:tabs>
        <w:ind w:left="1800" w:hanging="360"/>
      </w:pPr>
      <w:rPr>
        <w:rFonts w:ascii="Courier New" w:hAnsi="Courier New" w:hint="default"/>
      </w:rPr>
    </w:lvl>
    <w:lvl w:ilvl="2" w:tplc="43A46272" w:tentative="1">
      <w:start w:val="1"/>
      <w:numFmt w:val="bullet"/>
      <w:lvlText w:val=""/>
      <w:lvlJc w:val="left"/>
      <w:pPr>
        <w:tabs>
          <w:tab w:val="num" w:pos="2520"/>
        </w:tabs>
        <w:ind w:left="2520" w:hanging="360"/>
      </w:pPr>
      <w:rPr>
        <w:rFonts w:ascii="Wingdings" w:hAnsi="Wingdings" w:hint="default"/>
      </w:rPr>
    </w:lvl>
    <w:lvl w:ilvl="3" w:tplc="1F682298" w:tentative="1">
      <w:start w:val="1"/>
      <w:numFmt w:val="bullet"/>
      <w:lvlText w:val=""/>
      <w:lvlJc w:val="left"/>
      <w:pPr>
        <w:tabs>
          <w:tab w:val="num" w:pos="3240"/>
        </w:tabs>
        <w:ind w:left="3240" w:hanging="360"/>
      </w:pPr>
      <w:rPr>
        <w:rFonts w:ascii="Symbol" w:hAnsi="Symbol" w:hint="default"/>
      </w:rPr>
    </w:lvl>
    <w:lvl w:ilvl="4" w:tplc="A76A237E" w:tentative="1">
      <w:start w:val="1"/>
      <w:numFmt w:val="bullet"/>
      <w:lvlText w:val="o"/>
      <w:lvlJc w:val="left"/>
      <w:pPr>
        <w:tabs>
          <w:tab w:val="num" w:pos="3960"/>
        </w:tabs>
        <w:ind w:left="3960" w:hanging="360"/>
      </w:pPr>
      <w:rPr>
        <w:rFonts w:ascii="Courier New" w:hAnsi="Courier New" w:hint="default"/>
      </w:rPr>
    </w:lvl>
    <w:lvl w:ilvl="5" w:tplc="0C64D856" w:tentative="1">
      <w:start w:val="1"/>
      <w:numFmt w:val="bullet"/>
      <w:lvlText w:val=""/>
      <w:lvlJc w:val="left"/>
      <w:pPr>
        <w:tabs>
          <w:tab w:val="num" w:pos="4680"/>
        </w:tabs>
        <w:ind w:left="4680" w:hanging="360"/>
      </w:pPr>
      <w:rPr>
        <w:rFonts w:ascii="Wingdings" w:hAnsi="Wingdings" w:hint="default"/>
      </w:rPr>
    </w:lvl>
    <w:lvl w:ilvl="6" w:tplc="01964AC0" w:tentative="1">
      <w:start w:val="1"/>
      <w:numFmt w:val="bullet"/>
      <w:lvlText w:val=""/>
      <w:lvlJc w:val="left"/>
      <w:pPr>
        <w:tabs>
          <w:tab w:val="num" w:pos="5400"/>
        </w:tabs>
        <w:ind w:left="5400" w:hanging="360"/>
      </w:pPr>
      <w:rPr>
        <w:rFonts w:ascii="Symbol" w:hAnsi="Symbol" w:hint="default"/>
      </w:rPr>
    </w:lvl>
    <w:lvl w:ilvl="7" w:tplc="0CDA7416" w:tentative="1">
      <w:start w:val="1"/>
      <w:numFmt w:val="bullet"/>
      <w:lvlText w:val="o"/>
      <w:lvlJc w:val="left"/>
      <w:pPr>
        <w:tabs>
          <w:tab w:val="num" w:pos="6120"/>
        </w:tabs>
        <w:ind w:left="6120" w:hanging="360"/>
      </w:pPr>
      <w:rPr>
        <w:rFonts w:ascii="Courier New" w:hAnsi="Courier New" w:hint="default"/>
      </w:rPr>
    </w:lvl>
    <w:lvl w:ilvl="8" w:tplc="DCBEFE24" w:tentative="1">
      <w:start w:val="1"/>
      <w:numFmt w:val="bullet"/>
      <w:lvlText w:val=""/>
      <w:lvlJc w:val="left"/>
      <w:pPr>
        <w:tabs>
          <w:tab w:val="num" w:pos="6840"/>
        </w:tabs>
        <w:ind w:left="6840" w:hanging="360"/>
      </w:pPr>
      <w:rPr>
        <w:rFonts w:ascii="Wingdings" w:hAnsi="Wingdings" w:hint="default"/>
      </w:rPr>
    </w:lvl>
  </w:abstractNum>
  <w:abstractNum w:abstractNumId="48">
    <w:nsid w:val="66EB1F48"/>
    <w:multiLevelType w:val="hybridMultilevel"/>
    <w:tmpl w:val="65C25C9E"/>
    <w:lvl w:ilvl="0" w:tplc="B4082E02">
      <w:start w:val="1"/>
      <w:numFmt w:val="lowerLetter"/>
      <w:lvlText w:val="(%1)"/>
      <w:lvlJc w:val="left"/>
      <w:pPr>
        <w:ind w:left="1446" w:hanging="360"/>
      </w:pPr>
      <w:rPr>
        <w:rFonts w:hint="default"/>
        <w:i/>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49">
    <w:nsid w:val="679D473C"/>
    <w:multiLevelType w:val="singleLevel"/>
    <w:tmpl w:val="1BC6C720"/>
    <w:lvl w:ilvl="0">
      <w:start w:val="1"/>
      <w:numFmt w:val="lowerLetter"/>
      <w:lvlText w:val="(%1)"/>
      <w:lvlJc w:val="left"/>
      <w:pPr>
        <w:tabs>
          <w:tab w:val="num" w:pos="360"/>
        </w:tabs>
        <w:ind w:left="360" w:hanging="360"/>
      </w:pPr>
      <w:rPr>
        <w:rFonts w:hint="default"/>
      </w:rPr>
    </w:lvl>
  </w:abstractNum>
  <w:abstractNum w:abstractNumId="50">
    <w:nsid w:val="6A311EFC"/>
    <w:multiLevelType w:val="hybridMultilevel"/>
    <w:tmpl w:val="514AFA62"/>
    <w:lvl w:ilvl="0" w:tplc="F0C09E3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1">
    <w:nsid w:val="6BA26C59"/>
    <w:multiLevelType w:val="hybridMultilevel"/>
    <w:tmpl w:val="8F460A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BCE1185"/>
    <w:multiLevelType w:val="hybridMultilevel"/>
    <w:tmpl w:val="9FF87EE4"/>
    <w:lvl w:ilvl="0" w:tplc="46546B9C">
      <w:start w:val="1"/>
      <w:numFmt w:val="bullet"/>
      <w:lvlText w:val=""/>
      <w:lvlJc w:val="left"/>
      <w:pPr>
        <w:tabs>
          <w:tab w:val="num" w:pos="360"/>
        </w:tabs>
        <w:ind w:left="360" w:hanging="360"/>
      </w:pPr>
      <w:rPr>
        <w:rFonts w:ascii="Symbol" w:hAnsi="Symbol" w:hint="default"/>
      </w:rPr>
    </w:lvl>
    <w:lvl w:ilvl="1" w:tplc="98E2B440" w:tentative="1">
      <w:start w:val="1"/>
      <w:numFmt w:val="bullet"/>
      <w:lvlText w:val="o"/>
      <w:lvlJc w:val="left"/>
      <w:pPr>
        <w:tabs>
          <w:tab w:val="num" w:pos="1440"/>
        </w:tabs>
        <w:ind w:left="1440" w:hanging="360"/>
      </w:pPr>
      <w:rPr>
        <w:rFonts w:ascii="Courier New" w:hAnsi="Courier New" w:hint="default"/>
      </w:rPr>
    </w:lvl>
    <w:lvl w:ilvl="2" w:tplc="A648A888" w:tentative="1">
      <w:start w:val="1"/>
      <w:numFmt w:val="bullet"/>
      <w:lvlText w:val=""/>
      <w:lvlJc w:val="left"/>
      <w:pPr>
        <w:tabs>
          <w:tab w:val="num" w:pos="2160"/>
        </w:tabs>
        <w:ind w:left="2160" w:hanging="360"/>
      </w:pPr>
      <w:rPr>
        <w:rFonts w:ascii="Wingdings" w:hAnsi="Wingdings" w:hint="default"/>
      </w:rPr>
    </w:lvl>
    <w:lvl w:ilvl="3" w:tplc="FE42C80E" w:tentative="1">
      <w:start w:val="1"/>
      <w:numFmt w:val="bullet"/>
      <w:lvlText w:val=""/>
      <w:lvlJc w:val="left"/>
      <w:pPr>
        <w:tabs>
          <w:tab w:val="num" w:pos="2880"/>
        </w:tabs>
        <w:ind w:left="2880" w:hanging="360"/>
      </w:pPr>
      <w:rPr>
        <w:rFonts w:ascii="Symbol" w:hAnsi="Symbol" w:hint="default"/>
      </w:rPr>
    </w:lvl>
    <w:lvl w:ilvl="4" w:tplc="7F8EDC0C" w:tentative="1">
      <w:start w:val="1"/>
      <w:numFmt w:val="bullet"/>
      <w:lvlText w:val="o"/>
      <w:lvlJc w:val="left"/>
      <w:pPr>
        <w:tabs>
          <w:tab w:val="num" w:pos="3600"/>
        </w:tabs>
        <w:ind w:left="3600" w:hanging="360"/>
      </w:pPr>
      <w:rPr>
        <w:rFonts w:ascii="Courier New" w:hAnsi="Courier New" w:hint="default"/>
      </w:rPr>
    </w:lvl>
    <w:lvl w:ilvl="5" w:tplc="3D6CA91E" w:tentative="1">
      <w:start w:val="1"/>
      <w:numFmt w:val="bullet"/>
      <w:lvlText w:val=""/>
      <w:lvlJc w:val="left"/>
      <w:pPr>
        <w:tabs>
          <w:tab w:val="num" w:pos="4320"/>
        </w:tabs>
        <w:ind w:left="4320" w:hanging="360"/>
      </w:pPr>
      <w:rPr>
        <w:rFonts w:ascii="Wingdings" w:hAnsi="Wingdings" w:hint="default"/>
      </w:rPr>
    </w:lvl>
    <w:lvl w:ilvl="6" w:tplc="7060A5A2" w:tentative="1">
      <w:start w:val="1"/>
      <w:numFmt w:val="bullet"/>
      <w:lvlText w:val=""/>
      <w:lvlJc w:val="left"/>
      <w:pPr>
        <w:tabs>
          <w:tab w:val="num" w:pos="5040"/>
        </w:tabs>
        <w:ind w:left="5040" w:hanging="360"/>
      </w:pPr>
      <w:rPr>
        <w:rFonts w:ascii="Symbol" w:hAnsi="Symbol" w:hint="default"/>
      </w:rPr>
    </w:lvl>
    <w:lvl w:ilvl="7" w:tplc="AB44CD14" w:tentative="1">
      <w:start w:val="1"/>
      <w:numFmt w:val="bullet"/>
      <w:lvlText w:val="o"/>
      <w:lvlJc w:val="left"/>
      <w:pPr>
        <w:tabs>
          <w:tab w:val="num" w:pos="5760"/>
        </w:tabs>
        <w:ind w:left="5760" w:hanging="360"/>
      </w:pPr>
      <w:rPr>
        <w:rFonts w:ascii="Courier New" w:hAnsi="Courier New" w:hint="default"/>
      </w:rPr>
    </w:lvl>
    <w:lvl w:ilvl="8" w:tplc="FCDC20F6" w:tentative="1">
      <w:start w:val="1"/>
      <w:numFmt w:val="bullet"/>
      <w:lvlText w:val=""/>
      <w:lvlJc w:val="left"/>
      <w:pPr>
        <w:tabs>
          <w:tab w:val="num" w:pos="6480"/>
        </w:tabs>
        <w:ind w:left="6480" w:hanging="360"/>
      </w:pPr>
      <w:rPr>
        <w:rFonts w:ascii="Wingdings" w:hAnsi="Wingdings" w:hint="default"/>
      </w:rPr>
    </w:lvl>
  </w:abstractNum>
  <w:abstractNum w:abstractNumId="53">
    <w:nsid w:val="6E7D0943"/>
    <w:multiLevelType w:val="hybridMultilevel"/>
    <w:tmpl w:val="F082675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4">
    <w:nsid w:val="72446D4B"/>
    <w:multiLevelType w:val="hybridMultilevel"/>
    <w:tmpl w:val="579C6D90"/>
    <w:lvl w:ilvl="0" w:tplc="04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55">
    <w:nsid w:val="75273711"/>
    <w:multiLevelType w:val="hybridMultilevel"/>
    <w:tmpl w:val="B296AED0"/>
    <w:lvl w:ilvl="0" w:tplc="B4082E0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nsid w:val="764C21DF"/>
    <w:multiLevelType w:val="singleLevel"/>
    <w:tmpl w:val="76864EE0"/>
    <w:lvl w:ilvl="0">
      <w:start w:val="1"/>
      <w:numFmt w:val="lowerLetter"/>
      <w:lvlText w:val="(%1)"/>
      <w:lvlJc w:val="left"/>
      <w:pPr>
        <w:tabs>
          <w:tab w:val="num" w:pos="360"/>
        </w:tabs>
        <w:ind w:left="360" w:hanging="360"/>
      </w:pPr>
      <w:rPr>
        <w:rFonts w:hint="default"/>
      </w:rPr>
    </w:lvl>
  </w:abstractNum>
  <w:abstractNum w:abstractNumId="57">
    <w:nsid w:val="76B54AFD"/>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58">
    <w:nsid w:val="770968E7"/>
    <w:multiLevelType w:val="hybridMultilevel"/>
    <w:tmpl w:val="6576C432"/>
    <w:lvl w:ilvl="0" w:tplc="C06CA1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77D8619D"/>
    <w:multiLevelType w:val="singleLevel"/>
    <w:tmpl w:val="0B8E9CD0"/>
    <w:lvl w:ilvl="0">
      <w:start w:val="1"/>
      <w:numFmt w:val="lowerRoman"/>
      <w:lvlText w:val="(%1)"/>
      <w:lvlJc w:val="left"/>
      <w:pPr>
        <w:tabs>
          <w:tab w:val="num" w:pos="720"/>
        </w:tabs>
        <w:ind w:left="360" w:hanging="360"/>
      </w:pPr>
      <w:rPr>
        <w:rFonts w:hint="default"/>
      </w:rPr>
    </w:lvl>
  </w:abstractNum>
  <w:abstractNum w:abstractNumId="60">
    <w:nsid w:val="79AF7681"/>
    <w:multiLevelType w:val="singleLevel"/>
    <w:tmpl w:val="1BC6C720"/>
    <w:lvl w:ilvl="0">
      <w:start w:val="1"/>
      <w:numFmt w:val="lowerLetter"/>
      <w:lvlText w:val="(%1)"/>
      <w:lvlJc w:val="left"/>
      <w:pPr>
        <w:tabs>
          <w:tab w:val="num" w:pos="360"/>
        </w:tabs>
        <w:ind w:left="360" w:hanging="360"/>
      </w:pPr>
      <w:rPr>
        <w:rFonts w:hint="default"/>
      </w:rPr>
    </w:lvl>
  </w:abstractNum>
  <w:abstractNum w:abstractNumId="61">
    <w:nsid w:val="7A084DE3"/>
    <w:multiLevelType w:val="hybridMultilevel"/>
    <w:tmpl w:val="BF964FFE"/>
    <w:lvl w:ilvl="0" w:tplc="50E4BBAC">
      <w:start w:val="1"/>
      <w:numFmt w:val="lowerLetter"/>
      <w:lvlText w:val="%1)"/>
      <w:lvlJc w:val="left"/>
      <w:pPr>
        <w:ind w:left="1446" w:hanging="360"/>
      </w:pPr>
      <w:rPr>
        <w:i/>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62">
    <w:nsid w:val="7DB97AB5"/>
    <w:multiLevelType w:val="singleLevel"/>
    <w:tmpl w:val="76864EE0"/>
    <w:lvl w:ilvl="0">
      <w:start w:val="1"/>
      <w:numFmt w:val="lowerLetter"/>
      <w:lvlText w:val="(%1)"/>
      <w:lvlJc w:val="left"/>
      <w:pPr>
        <w:tabs>
          <w:tab w:val="num" w:pos="360"/>
        </w:tabs>
        <w:ind w:left="360" w:hanging="360"/>
      </w:pPr>
      <w:rPr>
        <w:rFonts w:hint="default"/>
      </w:rPr>
    </w:lvl>
  </w:abstractNum>
  <w:num w:numId="1">
    <w:abstractNumId w:val="49"/>
  </w:num>
  <w:num w:numId="2">
    <w:abstractNumId w:val="31"/>
  </w:num>
  <w:num w:numId="3">
    <w:abstractNumId w:val="40"/>
  </w:num>
  <w:num w:numId="4">
    <w:abstractNumId w:val="62"/>
  </w:num>
  <w:num w:numId="5">
    <w:abstractNumId w:val="56"/>
  </w:num>
  <w:num w:numId="6">
    <w:abstractNumId w:val="17"/>
  </w:num>
  <w:num w:numId="7">
    <w:abstractNumId w:val="36"/>
  </w:num>
  <w:num w:numId="8">
    <w:abstractNumId w:val="57"/>
  </w:num>
  <w:num w:numId="9">
    <w:abstractNumId w:val="5"/>
  </w:num>
  <w:num w:numId="10">
    <w:abstractNumId w:val="59"/>
  </w:num>
  <w:num w:numId="11">
    <w:abstractNumId w:val="16"/>
  </w:num>
  <w:num w:numId="12">
    <w:abstractNumId w:val="33"/>
  </w:num>
  <w:num w:numId="13">
    <w:abstractNumId w:val="52"/>
  </w:num>
  <w:num w:numId="14">
    <w:abstractNumId w:val="47"/>
  </w:num>
  <w:num w:numId="15">
    <w:abstractNumId w:val="39"/>
  </w:num>
  <w:num w:numId="16">
    <w:abstractNumId w:val="21"/>
  </w:num>
  <w:num w:numId="17">
    <w:abstractNumId w:val="30"/>
  </w:num>
  <w:num w:numId="18">
    <w:abstractNumId w:val="37"/>
  </w:num>
  <w:num w:numId="19">
    <w:abstractNumId w:val="60"/>
  </w:num>
  <w:num w:numId="20">
    <w:abstractNumId w:val="42"/>
  </w:num>
  <w:num w:numId="21">
    <w:abstractNumId w:val="13"/>
  </w:num>
  <w:num w:numId="22">
    <w:abstractNumId w:val="7"/>
  </w:num>
  <w:num w:numId="23">
    <w:abstractNumId w:val="26"/>
  </w:num>
  <w:num w:numId="24">
    <w:abstractNumId w:val="28"/>
  </w:num>
  <w:num w:numId="25">
    <w:abstractNumId w:val="14"/>
  </w:num>
  <w:num w:numId="26">
    <w:abstractNumId w:val="38"/>
  </w:num>
  <w:num w:numId="27">
    <w:abstractNumId w:val="19"/>
  </w:num>
  <w:num w:numId="28">
    <w:abstractNumId w:val="34"/>
  </w:num>
  <w:num w:numId="29">
    <w:abstractNumId w:val="53"/>
  </w:num>
  <w:num w:numId="30">
    <w:abstractNumId w:val="12"/>
  </w:num>
  <w:num w:numId="31">
    <w:abstractNumId w:val="1"/>
  </w:num>
  <w:num w:numId="32">
    <w:abstractNumId w:val="27"/>
  </w:num>
  <w:num w:numId="33">
    <w:abstractNumId w:val="15"/>
  </w:num>
  <w:num w:numId="34">
    <w:abstractNumId w:val="9"/>
  </w:num>
  <w:num w:numId="35">
    <w:abstractNumId w:val="2"/>
  </w:num>
  <w:num w:numId="36">
    <w:abstractNumId w:val="50"/>
  </w:num>
  <w:num w:numId="37">
    <w:abstractNumId w:val="23"/>
  </w:num>
  <w:num w:numId="38">
    <w:abstractNumId w:val="54"/>
  </w:num>
  <w:num w:numId="39">
    <w:abstractNumId w:val="35"/>
  </w:num>
  <w:num w:numId="40">
    <w:abstractNumId w:val="32"/>
  </w:num>
  <w:num w:numId="41">
    <w:abstractNumId w:val="18"/>
  </w:num>
  <w:num w:numId="42">
    <w:abstractNumId w:val="61"/>
  </w:num>
  <w:num w:numId="43">
    <w:abstractNumId w:val="45"/>
  </w:num>
  <w:num w:numId="44">
    <w:abstractNumId w:val="25"/>
  </w:num>
  <w:num w:numId="45">
    <w:abstractNumId w:val="51"/>
  </w:num>
  <w:num w:numId="46">
    <w:abstractNumId w:val="3"/>
  </w:num>
  <w:num w:numId="47">
    <w:abstractNumId w:val="29"/>
  </w:num>
  <w:num w:numId="48">
    <w:abstractNumId w:val="58"/>
  </w:num>
  <w:num w:numId="49">
    <w:abstractNumId w:val="20"/>
  </w:num>
  <w:num w:numId="50">
    <w:abstractNumId w:val="22"/>
  </w:num>
  <w:num w:numId="51">
    <w:abstractNumId w:val="11"/>
  </w:num>
  <w:num w:numId="52">
    <w:abstractNumId w:val="46"/>
  </w:num>
  <w:num w:numId="53">
    <w:abstractNumId w:val="6"/>
  </w:num>
  <w:num w:numId="54">
    <w:abstractNumId w:val="43"/>
  </w:num>
  <w:num w:numId="55">
    <w:abstractNumId w:val="24"/>
  </w:num>
  <w:num w:numId="56">
    <w:abstractNumId w:val="0"/>
  </w:num>
  <w:num w:numId="57">
    <w:abstractNumId w:val="41"/>
  </w:num>
  <w:num w:numId="58">
    <w:abstractNumId w:val="4"/>
  </w:num>
  <w:num w:numId="59">
    <w:abstractNumId w:val="8"/>
  </w:num>
  <w:num w:numId="60">
    <w:abstractNumId w:val="55"/>
  </w:num>
  <w:num w:numId="61">
    <w:abstractNumId w:val="44"/>
  </w:num>
  <w:num w:numId="62">
    <w:abstractNumId w:val="10"/>
  </w:num>
  <w:num w:numId="63">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571"/>
    <w:rsid w:val="00000092"/>
    <w:rsid w:val="000143B8"/>
    <w:rsid w:val="0004589F"/>
    <w:rsid w:val="00054B47"/>
    <w:rsid w:val="000952B4"/>
    <w:rsid w:val="00095CCB"/>
    <w:rsid w:val="000B3059"/>
    <w:rsid w:val="000C4891"/>
    <w:rsid w:val="000C4BA0"/>
    <w:rsid w:val="000D0F44"/>
    <w:rsid w:val="000D1685"/>
    <w:rsid w:val="000D354A"/>
    <w:rsid w:val="000D5E8A"/>
    <w:rsid w:val="000D76BA"/>
    <w:rsid w:val="000F273D"/>
    <w:rsid w:val="000F693A"/>
    <w:rsid w:val="0010429D"/>
    <w:rsid w:val="00107124"/>
    <w:rsid w:val="001122FE"/>
    <w:rsid w:val="001153BF"/>
    <w:rsid w:val="001210D5"/>
    <w:rsid w:val="00121210"/>
    <w:rsid w:val="00124642"/>
    <w:rsid w:val="00133E6E"/>
    <w:rsid w:val="00172A1D"/>
    <w:rsid w:val="00183DE5"/>
    <w:rsid w:val="001972EE"/>
    <w:rsid w:val="001976AD"/>
    <w:rsid w:val="001D794B"/>
    <w:rsid w:val="001E4141"/>
    <w:rsid w:val="001E50CA"/>
    <w:rsid w:val="002554C4"/>
    <w:rsid w:val="0029314E"/>
    <w:rsid w:val="00294296"/>
    <w:rsid w:val="002C548E"/>
    <w:rsid w:val="002E290D"/>
    <w:rsid w:val="002E2D17"/>
    <w:rsid w:val="002F41D2"/>
    <w:rsid w:val="003077CE"/>
    <w:rsid w:val="00314C9C"/>
    <w:rsid w:val="00333FDE"/>
    <w:rsid w:val="003425F4"/>
    <w:rsid w:val="00351842"/>
    <w:rsid w:val="00375DC0"/>
    <w:rsid w:val="00387457"/>
    <w:rsid w:val="003A45F8"/>
    <w:rsid w:val="003B3E51"/>
    <w:rsid w:val="003B5293"/>
    <w:rsid w:val="003C2715"/>
    <w:rsid w:val="003C60A1"/>
    <w:rsid w:val="003D5BAC"/>
    <w:rsid w:val="003E7E1B"/>
    <w:rsid w:val="003F65B9"/>
    <w:rsid w:val="003F7AE5"/>
    <w:rsid w:val="004118A4"/>
    <w:rsid w:val="004216A6"/>
    <w:rsid w:val="004461B6"/>
    <w:rsid w:val="00451B39"/>
    <w:rsid w:val="00452041"/>
    <w:rsid w:val="00452273"/>
    <w:rsid w:val="0046727F"/>
    <w:rsid w:val="00470424"/>
    <w:rsid w:val="00474C8D"/>
    <w:rsid w:val="004A7754"/>
    <w:rsid w:val="004C75DF"/>
    <w:rsid w:val="004D08CE"/>
    <w:rsid w:val="004D4664"/>
    <w:rsid w:val="004D593A"/>
    <w:rsid w:val="004D7E6B"/>
    <w:rsid w:val="004E5C63"/>
    <w:rsid w:val="004F0AA8"/>
    <w:rsid w:val="00504FA9"/>
    <w:rsid w:val="00522C4F"/>
    <w:rsid w:val="00541E0E"/>
    <w:rsid w:val="005430F4"/>
    <w:rsid w:val="0055519E"/>
    <w:rsid w:val="00562729"/>
    <w:rsid w:val="0057182A"/>
    <w:rsid w:val="005745A6"/>
    <w:rsid w:val="00575547"/>
    <w:rsid w:val="0057595D"/>
    <w:rsid w:val="00587CC5"/>
    <w:rsid w:val="0059265B"/>
    <w:rsid w:val="005938B7"/>
    <w:rsid w:val="005B5D35"/>
    <w:rsid w:val="005D3F72"/>
    <w:rsid w:val="005F4900"/>
    <w:rsid w:val="006010D2"/>
    <w:rsid w:val="00612488"/>
    <w:rsid w:val="00625029"/>
    <w:rsid w:val="006328EF"/>
    <w:rsid w:val="00681DC8"/>
    <w:rsid w:val="006C547D"/>
    <w:rsid w:val="006D10F3"/>
    <w:rsid w:val="006D39F0"/>
    <w:rsid w:val="006F66B5"/>
    <w:rsid w:val="00701A66"/>
    <w:rsid w:val="00712CFE"/>
    <w:rsid w:val="00716E9D"/>
    <w:rsid w:val="007216BA"/>
    <w:rsid w:val="007402FC"/>
    <w:rsid w:val="0076153A"/>
    <w:rsid w:val="00764068"/>
    <w:rsid w:val="00775F8C"/>
    <w:rsid w:val="0079319D"/>
    <w:rsid w:val="007A4345"/>
    <w:rsid w:val="007B7A8A"/>
    <w:rsid w:val="007C1715"/>
    <w:rsid w:val="007D13B8"/>
    <w:rsid w:val="007E79BB"/>
    <w:rsid w:val="00832450"/>
    <w:rsid w:val="008351DF"/>
    <w:rsid w:val="00876326"/>
    <w:rsid w:val="0087761A"/>
    <w:rsid w:val="00892372"/>
    <w:rsid w:val="00896A12"/>
    <w:rsid w:val="008B2D93"/>
    <w:rsid w:val="008C2DBC"/>
    <w:rsid w:val="008C65D4"/>
    <w:rsid w:val="008E1A2A"/>
    <w:rsid w:val="009007B0"/>
    <w:rsid w:val="00904B7E"/>
    <w:rsid w:val="00915571"/>
    <w:rsid w:val="009428EA"/>
    <w:rsid w:val="009473FA"/>
    <w:rsid w:val="00951A2D"/>
    <w:rsid w:val="00967C35"/>
    <w:rsid w:val="00982466"/>
    <w:rsid w:val="009A6DED"/>
    <w:rsid w:val="009C13BE"/>
    <w:rsid w:val="009C2E26"/>
    <w:rsid w:val="009C392D"/>
    <w:rsid w:val="009C731E"/>
    <w:rsid w:val="009E4662"/>
    <w:rsid w:val="009F4616"/>
    <w:rsid w:val="00A05310"/>
    <w:rsid w:val="00A21D35"/>
    <w:rsid w:val="00A27EAD"/>
    <w:rsid w:val="00A36AFB"/>
    <w:rsid w:val="00A41DFE"/>
    <w:rsid w:val="00A42F50"/>
    <w:rsid w:val="00A83AA0"/>
    <w:rsid w:val="00A92F28"/>
    <w:rsid w:val="00AA49FB"/>
    <w:rsid w:val="00AB4F00"/>
    <w:rsid w:val="00AC5B89"/>
    <w:rsid w:val="00AC6A0A"/>
    <w:rsid w:val="00AD77F1"/>
    <w:rsid w:val="00AE07B3"/>
    <w:rsid w:val="00AF3ADF"/>
    <w:rsid w:val="00AF4D92"/>
    <w:rsid w:val="00B00459"/>
    <w:rsid w:val="00B01024"/>
    <w:rsid w:val="00B02A5B"/>
    <w:rsid w:val="00B066A0"/>
    <w:rsid w:val="00B1388E"/>
    <w:rsid w:val="00B13DE2"/>
    <w:rsid w:val="00B23F8A"/>
    <w:rsid w:val="00B46DCE"/>
    <w:rsid w:val="00B7707A"/>
    <w:rsid w:val="00B7795E"/>
    <w:rsid w:val="00B8048F"/>
    <w:rsid w:val="00B83717"/>
    <w:rsid w:val="00B9110E"/>
    <w:rsid w:val="00B93E7C"/>
    <w:rsid w:val="00B94E40"/>
    <w:rsid w:val="00BB5F26"/>
    <w:rsid w:val="00BC3F67"/>
    <w:rsid w:val="00BD4C4F"/>
    <w:rsid w:val="00BE0D81"/>
    <w:rsid w:val="00BF2425"/>
    <w:rsid w:val="00BF36FB"/>
    <w:rsid w:val="00C160B5"/>
    <w:rsid w:val="00C50C08"/>
    <w:rsid w:val="00C51828"/>
    <w:rsid w:val="00C64988"/>
    <w:rsid w:val="00C8572E"/>
    <w:rsid w:val="00C86066"/>
    <w:rsid w:val="00CA0B78"/>
    <w:rsid w:val="00CA369A"/>
    <w:rsid w:val="00CE12F3"/>
    <w:rsid w:val="00CE4B18"/>
    <w:rsid w:val="00CE72C4"/>
    <w:rsid w:val="00D07668"/>
    <w:rsid w:val="00D20F4F"/>
    <w:rsid w:val="00D218C3"/>
    <w:rsid w:val="00D22BB7"/>
    <w:rsid w:val="00D26698"/>
    <w:rsid w:val="00D35036"/>
    <w:rsid w:val="00D63086"/>
    <w:rsid w:val="00D677C5"/>
    <w:rsid w:val="00D67B6C"/>
    <w:rsid w:val="00D84537"/>
    <w:rsid w:val="00DA3AB9"/>
    <w:rsid w:val="00DA78E0"/>
    <w:rsid w:val="00DB58D5"/>
    <w:rsid w:val="00DD6AFF"/>
    <w:rsid w:val="00DE0FBB"/>
    <w:rsid w:val="00DE5405"/>
    <w:rsid w:val="00E11F18"/>
    <w:rsid w:val="00E16380"/>
    <w:rsid w:val="00E27993"/>
    <w:rsid w:val="00E320A9"/>
    <w:rsid w:val="00E3218F"/>
    <w:rsid w:val="00E569C1"/>
    <w:rsid w:val="00E56DFF"/>
    <w:rsid w:val="00E84C27"/>
    <w:rsid w:val="00E9570F"/>
    <w:rsid w:val="00E97BB0"/>
    <w:rsid w:val="00EB7F05"/>
    <w:rsid w:val="00ED2793"/>
    <w:rsid w:val="00ED6677"/>
    <w:rsid w:val="00F0556B"/>
    <w:rsid w:val="00F17BD5"/>
    <w:rsid w:val="00F22CA1"/>
    <w:rsid w:val="00F27D49"/>
    <w:rsid w:val="00F31227"/>
    <w:rsid w:val="00F456E9"/>
    <w:rsid w:val="00F47C6A"/>
    <w:rsid w:val="00F77F90"/>
    <w:rsid w:val="00F931DF"/>
    <w:rsid w:val="00F97A0E"/>
    <w:rsid w:val="00FB2BA8"/>
    <w:rsid w:val="00FC4CFA"/>
    <w:rsid w:val="00FE4739"/>
    <w:rsid w:val="00FF3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ind w:firstLine="432"/>
      <w:jc w:val="both"/>
    </w:pPr>
    <w:rPr>
      <w:snapToGrid w:val="0"/>
      <w:sz w:val="22"/>
      <w:lang w:eastAsia="en-US"/>
    </w:rPr>
  </w:style>
  <w:style w:type="paragraph" w:styleId="Heading1">
    <w:name w:val="heading 1"/>
    <w:basedOn w:val="Normal"/>
    <w:next w:val="Normal"/>
    <w:qFormat/>
    <w:pPr>
      <w:spacing w:after="480" w:line="360" w:lineRule="auto"/>
      <w:jc w:val="center"/>
      <w:outlineLvl w:val="0"/>
    </w:pPr>
    <w:rPr>
      <w:rFonts w:ascii="Bookman Old Style" w:hAnsi="Bookman Old Style"/>
      <w:b/>
      <w:i/>
      <w:sz w:val="48"/>
    </w:rPr>
  </w:style>
  <w:style w:type="paragraph" w:styleId="Heading2">
    <w:name w:val="heading 2"/>
    <w:basedOn w:val="Normal"/>
    <w:next w:val="Normal"/>
    <w:qFormat/>
    <w:pPr>
      <w:keepNext/>
      <w:ind w:firstLine="0"/>
      <w:outlineLvl w:val="1"/>
    </w:pPr>
    <w:rPr>
      <w:b/>
    </w:rPr>
  </w:style>
  <w:style w:type="paragraph" w:styleId="Heading3">
    <w:name w:val="heading 3"/>
    <w:basedOn w:val="Normal"/>
    <w:next w:val="Normal"/>
    <w:qFormat/>
    <w:pPr>
      <w:keepNext/>
      <w:ind w:left="1440" w:hanging="1440"/>
      <w:outlineLvl w:val="2"/>
    </w:pPr>
    <w:rPr>
      <w:rFonts w:ascii="Times" w:hAnsi="Times"/>
      <w:b/>
    </w:rPr>
  </w:style>
  <w:style w:type="paragraph" w:styleId="Heading4">
    <w:name w:val="heading 4"/>
    <w:basedOn w:val="Normal"/>
    <w:next w:val="Normal"/>
    <w:qFormat/>
    <w:pPr>
      <w:keepNext/>
      <w:spacing w:before="120"/>
      <w:ind w:firstLine="0"/>
      <w:jc w:val="left"/>
      <w:outlineLvl w:val="3"/>
    </w:pPr>
    <w:rPr>
      <w:rFonts w:ascii="Times" w:hAnsi="Times"/>
      <w:b/>
    </w:rPr>
  </w:style>
  <w:style w:type="paragraph" w:styleId="Heading5">
    <w:name w:val="heading 5"/>
    <w:basedOn w:val="Normal"/>
    <w:next w:val="Normal"/>
    <w:qFormat/>
    <w:pPr>
      <w:keepNext/>
      <w:widowControl/>
      <w:ind w:firstLine="0"/>
      <w:outlineLvl w:val="4"/>
    </w:pPr>
    <w:rPr>
      <w:rFonts w:ascii="Times" w:hAnsi="Times"/>
      <w:b/>
      <w:snapToGrid/>
      <w:sz w:val="24"/>
    </w:rPr>
  </w:style>
  <w:style w:type="paragraph" w:styleId="Heading6">
    <w:name w:val="heading 6"/>
    <w:basedOn w:val="Normal"/>
    <w:next w:val="Normal"/>
    <w:qFormat/>
    <w:pPr>
      <w:keepNext/>
      <w:widowControl/>
      <w:ind w:firstLine="0"/>
      <w:outlineLvl w:val="5"/>
    </w:pPr>
    <w:rPr>
      <w:rFonts w:ascii="New York" w:hAnsi="New York"/>
      <w:i/>
      <w:snapToGrid/>
      <w:sz w:val="24"/>
    </w:rPr>
  </w:style>
  <w:style w:type="paragraph" w:styleId="Heading7">
    <w:name w:val="heading 7"/>
    <w:basedOn w:val="Normal"/>
    <w:next w:val="Normal"/>
    <w:qFormat/>
    <w:pPr>
      <w:keepNext/>
      <w:ind w:left="540" w:hanging="108"/>
      <w:outlineLvl w:val="6"/>
    </w:pPr>
    <w:rPr>
      <w:rFonts w:ascii="Times" w:hAnsi="Times"/>
      <w:b/>
      <w:sz w:val="24"/>
    </w:rPr>
  </w:style>
  <w:style w:type="paragraph" w:styleId="Heading8">
    <w:name w:val="heading 8"/>
    <w:basedOn w:val="Normal"/>
    <w:next w:val="Normal"/>
    <w:qFormat/>
    <w:pPr>
      <w:keepNext/>
      <w:ind w:firstLine="180"/>
      <w:outlineLvl w:val="7"/>
    </w:pPr>
    <w:rPr>
      <w:rFonts w:ascii="Times" w:hAnsi="Times"/>
      <w:b/>
      <w:sz w:val="24"/>
    </w:rPr>
  </w:style>
  <w:style w:type="paragraph" w:styleId="Heading9">
    <w:name w:val="heading 9"/>
    <w:basedOn w:val="Normal"/>
    <w:next w:val="Normal"/>
    <w:qFormat/>
    <w:pPr>
      <w:keepNext/>
      <w:ind w:left="180" w:firstLine="0"/>
      <w:outlineLvl w:val="8"/>
    </w:pPr>
    <w:rPr>
      <w:rFonts w:ascii="Times" w:hAnsi="Time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NumPlain1">
    <w:name w:val="Num Plain1"/>
    <w:basedOn w:val="Normal"/>
    <w:pPr>
      <w:widowControl/>
      <w:spacing w:after="200" w:line="200" w:lineRule="exact"/>
      <w:ind w:left="510" w:hanging="510"/>
      <w:jc w:val="left"/>
    </w:pPr>
    <w:rPr>
      <w:rFonts w:cs="Bookman Old Style"/>
      <w:snapToGrid/>
      <w:sz w:val="20"/>
    </w:rPr>
  </w:style>
  <w:style w:type="paragraph" w:styleId="Title">
    <w:name w:val="Title"/>
    <w:basedOn w:val="Normal"/>
    <w:qFormat/>
    <w:pPr>
      <w:spacing w:after="480"/>
      <w:jc w:val="center"/>
    </w:pPr>
    <w:rPr>
      <w:sz w:val="28"/>
    </w:rPr>
  </w:style>
  <w:style w:type="paragraph" w:customStyle="1" w:styleId="NumBold1">
    <w:name w:val="Num Bold1"/>
    <w:basedOn w:val="Normal"/>
    <w:pPr>
      <w:widowControl/>
      <w:spacing w:after="200" w:line="200" w:lineRule="exact"/>
      <w:ind w:left="510" w:hanging="510"/>
      <w:jc w:val="left"/>
    </w:pPr>
    <w:rPr>
      <w:b/>
      <w:snapToGrid/>
      <w:sz w:val="20"/>
    </w:rPr>
  </w:style>
  <w:style w:type="paragraph" w:styleId="BodyText">
    <w:name w:val="Body Text"/>
    <w:basedOn w:val="Normal"/>
    <w:pPr>
      <w:ind w:firstLine="0"/>
    </w:pPr>
    <w:rPr>
      <w:color w:val="000000"/>
    </w:rPr>
  </w:style>
  <w:style w:type="paragraph" w:customStyle="1" w:styleId="NumBold2">
    <w:name w:val="Num Bold2"/>
    <w:basedOn w:val="NumBold1"/>
    <w:pPr>
      <w:ind w:left="1020"/>
    </w:pPr>
  </w:style>
  <w:style w:type="paragraph" w:styleId="BodyText2">
    <w:name w:val="Body Text 2"/>
    <w:basedOn w:val="Normal"/>
    <w:pPr>
      <w:widowControl/>
      <w:ind w:firstLine="0"/>
    </w:pPr>
    <w:rPr>
      <w:snapToGrid/>
      <w:color w:val="000000"/>
      <w:sz w:val="24"/>
    </w:rPr>
  </w:style>
  <w:style w:type="paragraph" w:styleId="CommentText">
    <w:name w:val="annotation text"/>
    <w:basedOn w:val="Normal"/>
    <w:semiHidden/>
  </w:style>
  <w:style w:type="paragraph" w:styleId="BodyText3">
    <w:name w:val="Body Text 3"/>
    <w:basedOn w:val="Normal"/>
    <w:pPr>
      <w:ind w:firstLine="0"/>
    </w:pPr>
    <w:rPr>
      <w:rFonts w:ascii="Times" w:hAnsi="Times"/>
      <w:b/>
    </w:rPr>
  </w:style>
  <w:style w:type="paragraph" w:styleId="BodyTextIndent">
    <w:name w:val="Body Text Indent"/>
    <w:basedOn w:val="Normal"/>
    <w:pPr>
      <w:spacing w:before="60"/>
    </w:pPr>
    <w:rPr>
      <w:rFonts w:ascii="Times" w:hAnsi="Times"/>
      <w:b/>
    </w:rPr>
  </w:style>
  <w:style w:type="paragraph" w:styleId="BodyTextIndent2">
    <w:name w:val="Body Text Indent 2"/>
    <w:basedOn w:val="Normal"/>
    <w:rPr>
      <w:rFonts w:ascii="Times" w:hAnsi="Times"/>
      <w:sz w:val="24"/>
    </w:rPr>
  </w:style>
  <w:style w:type="paragraph" w:styleId="BodyTextIndent3">
    <w:name w:val="Body Text Indent 3"/>
    <w:basedOn w:val="Normal"/>
    <w:pPr>
      <w:spacing w:line="480" w:lineRule="atLeast"/>
      <w:ind w:left="720" w:hanging="720"/>
    </w:pPr>
    <w:rPr>
      <w:sz w:val="24"/>
    </w:rPr>
  </w:style>
  <w:style w:type="paragraph" w:styleId="BalloonText">
    <w:name w:val="Balloon Text"/>
    <w:basedOn w:val="Normal"/>
    <w:semiHidden/>
    <w:rsid w:val="00915571"/>
    <w:rPr>
      <w:rFonts w:ascii="Tahoma" w:hAnsi="Tahoma" w:cs="Tahoma"/>
      <w:sz w:val="16"/>
      <w:szCs w:val="16"/>
    </w:rPr>
  </w:style>
  <w:style w:type="paragraph" w:styleId="Header">
    <w:name w:val="header"/>
    <w:basedOn w:val="Normal"/>
    <w:rsid w:val="006D10F3"/>
    <w:pPr>
      <w:tabs>
        <w:tab w:val="center" w:pos="4153"/>
        <w:tab w:val="right" w:pos="8306"/>
      </w:tabs>
    </w:pPr>
  </w:style>
  <w:style w:type="paragraph" w:customStyle="1" w:styleId="subsection">
    <w:name w:val="subsection"/>
    <w:basedOn w:val="Normal"/>
    <w:rsid w:val="00B7707A"/>
    <w:pPr>
      <w:widowControl/>
      <w:spacing w:before="100" w:beforeAutospacing="1" w:after="100" w:afterAutospacing="1"/>
      <w:ind w:firstLine="0"/>
      <w:jc w:val="left"/>
    </w:pPr>
    <w:rPr>
      <w:snapToGrid/>
      <w:sz w:val="24"/>
      <w:szCs w:val="24"/>
      <w:lang w:eastAsia="en-AU"/>
    </w:rPr>
  </w:style>
  <w:style w:type="paragraph" w:customStyle="1" w:styleId="paragraph">
    <w:name w:val="paragraph"/>
    <w:basedOn w:val="Normal"/>
    <w:rsid w:val="00B7707A"/>
    <w:pPr>
      <w:widowControl/>
      <w:spacing w:before="100" w:beforeAutospacing="1" w:after="100" w:afterAutospacing="1"/>
      <w:ind w:firstLine="0"/>
      <w:jc w:val="left"/>
    </w:pPr>
    <w:rPr>
      <w:snapToGrid/>
      <w:sz w:val="24"/>
      <w:szCs w:val="24"/>
      <w:lang w:eastAsia="en-AU"/>
    </w:rPr>
  </w:style>
  <w:style w:type="paragraph" w:customStyle="1" w:styleId="notetext">
    <w:name w:val="notetext"/>
    <w:basedOn w:val="Normal"/>
    <w:rsid w:val="00B7707A"/>
    <w:pPr>
      <w:widowControl/>
      <w:spacing w:before="100" w:beforeAutospacing="1" w:after="100" w:afterAutospacing="1"/>
      <w:ind w:firstLine="0"/>
      <w:jc w:val="left"/>
    </w:pPr>
    <w:rPr>
      <w:snapToGrid/>
      <w:sz w:val="24"/>
      <w:szCs w:val="24"/>
      <w:lang w:eastAsia="en-AU"/>
    </w:rPr>
  </w:style>
  <w:style w:type="paragraph" w:customStyle="1" w:styleId="subsectionhead">
    <w:name w:val="subsectionhead"/>
    <w:basedOn w:val="Normal"/>
    <w:rsid w:val="00B7707A"/>
    <w:pPr>
      <w:widowControl/>
      <w:spacing w:before="100" w:beforeAutospacing="1" w:after="100" w:afterAutospacing="1"/>
      <w:ind w:firstLine="0"/>
      <w:jc w:val="left"/>
    </w:pPr>
    <w:rPr>
      <w:snapToGrid/>
      <w:sz w:val="24"/>
      <w:szCs w:val="24"/>
      <w:lang w:eastAsia="en-AU"/>
    </w:rPr>
  </w:style>
  <w:style w:type="paragraph" w:customStyle="1" w:styleId="paragraphsub">
    <w:name w:val="paragraphsub"/>
    <w:basedOn w:val="Normal"/>
    <w:rsid w:val="00B7707A"/>
    <w:pPr>
      <w:widowControl/>
      <w:spacing w:before="100" w:beforeAutospacing="1" w:after="100" w:afterAutospacing="1"/>
      <w:ind w:firstLine="0"/>
      <w:jc w:val="left"/>
    </w:pPr>
    <w:rPr>
      <w:snapToGrid/>
      <w:sz w:val="24"/>
      <w:szCs w:val="24"/>
      <w:lang w:eastAsia="en-AU"/>
    </w:rPr>
  </w:style>
  <w:style w:type="paragraph" w:customStyle="1" w:styleId="subsection2">
    <w:name w:val="subsection2"/>
    <w:basedOn w:val="Normal"/>
    <w:rsid w:val="00B7707A"/>
    <w:pPr>
      <w:widowControl/>
      <w:spacing w:before="100" w:beforeAutospacing="1" w:after="100" w:afterAutospacing="1"/>
      <w:ind w:firstLine="0"/>
      <w:jc w:val="left"/>
    </w:pPr>
    <w:rPr>
      <w:snapToGrid/>
      <w:sz w:val="24"/>
      <w:szCs w:val="24"/>
      <w:lang w:eastAsia="en-AU"/>
    </w:rPr>
  </w:style>
  <w:style w:type="table" w:styleId="TableGrid">
    <w:name w:val="Table Grid"/>
    <w:basedOn w:val="TableNormal"/>
    <w:rsid w:val="00BD4C4F"/>
    <w:pPr>
      <w:widowControl w:val="0"/>
      <w:ind w:firstLine="43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text">
    <w:name w:val="•EOC text"/>
    <w:basedOn w:val="Normal"/>
    <w:uiPriority w:val="99"/>
    <w:rsid w:val="009428EA"/>
    <w:pPr>
      <w:suppressAutoHyphens/>
      <w:autoSpaceDE w:val="0"/>
      <w:autoSpaceDN w:val="0"/>
      <w:adjustRightInd w:val="0"/>
      <w:spacing w:line="240" w:lineRule="atLeast"/>
      <w:ind w:firstLine="0"/>
      <w:jc w:val="left"/>
      <w:textAlignment w:val="center"/>
    </w:pPr>
    <w:rPr>
      <w:rFonts w:ascii="HelveticaNeue-Light" w:hAnsi="HelveticaNeue-Light" w:cs="HelveticaNeue-Light"/>
      <w:snapToGrid/>
      <w:color w:val="000000"/>
      <w:sz w:val="20"/>
      <w:lang w:val="en-US"/>
    </w:rPr>
  </w:style>
  <w:style w:type="paragraph" w:customStyle="1" w:styleId="EOClist">
    <w:name w:val="•EOC list"/>
    <w:basedOn w:val="Normal"/>
    <w:uiPriority w:val="99"/>
    <w:rsid w:val="008C2DBC"/>
    <w:pPr>
      <w:suppressAutoHyphens/>
      <w:autoSpaceDE w:val="0"/>
      <w:autoSpaceDN w:val="0"/>
      <w:adjustRightInd w:val="0"/>
      <w:spacing w:line="240" w:lineRule="atLeast"/>
      <w:ind w:left="283" w:hanging="283"/>
      <w:jc w:val="left"/>
      <w:textAlignment w:val="center"/>
    </w:pPr>
    <w:rPr>
      <w:rFonts w:ascii="HelveticaNeue-Light" w:hAnsi="HelveticaNeue-Light" w:cs="HelveticaNeue-Light"/>
      <w:snapToGrid/>
      <w:color w:val="000000"/>
      <w:sz w:val="20"/>
      <w:lang w:val="en-US"/>
    </w:rPr>
  </w:style>
  <w:style w:type="character" w:customStyle="1" w:styleId="FooterChar">
    <w:name w:val="Footer Char"/>
    <w:link w:val="Footer"/>
    <w:uiPriority w:val="99"/>
    <w:rsid w:val="00124642"/>
    <w:rPr>
      <w:snapToGrid w:val="0"/>
      <w:sz w:val="22"/>
      <w:lang w:eastAsia="en-US"/>
    </w:rPr>
  </w:style>
  <w:style w:type="paragraph" w:styleId="ListParagraph">
    <w:name w:val="List Paragraph"/>
    <w:basedOn w:val="Normal"/>
    <w:uiPriority w:val="34"/>
    <w:qFormat/>
    <w:rsid w:val="0012464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83207">
      <w:bodyDiv w:val="1"/>
      <w:marLeft w:val="0"/>
      <w:marRight w:val="0"/>
      <w:marTop w:val="0"/>
      <w:marBottom w:val="0"/>
      <w:divBdr>
        <w:top w:val="none" w:sz="0" w:space="0" w:color="auto"/>
        <w:left w:val="none" w:sz="0" w:space="0" w:color="auto"/>
        <w:bottom w:val="none" w:sz="0" w:space="0" w:color="auto"/>
        <w:right w:val="none" w:sz="0" w:space="0" w:color="auto"/>
      </w:divBdr>
    </w:div>
    <w:div w:id="370305522">
      <w:bodyDiv w:val="1"/>
      <w:marLeft w:val="0"/>
      <w:marRight w:val="0"/>
      <w:marTop w:val="0"/>
      <w:marBottom w:val="0"/>
      <w:divBdr>
        <w:top w:val="none" w:sz="0" w:space="0" w:color="auto"/>
        <w:left w:val="none" w:sz="0" w:space="0" w:color="auto"/>
        <w:bottom w:val="none" w:sz="0" w:space="0" w:color="auto"/>
        <w:right w:val="none" w:sz="0" w:space="0" w:color="auto"/>
      </w:divBdr>
    </w:div>
    <w:div w:id="751321386">
      <w:bodyDiv w:val="1"/>
      <w:marLeft w:val="0"/>
      <w:marRight w:val="0"/>
      <w:marTop w:val="0"/>
      <w:marBottom w:val="0"/>
      <w:divBdr>
        <w:top w:val="none" w:sz="0" w:space="0" w:color="auto"/>
        <w:left w:val="none" w:sz="0" w:space="0" w:color="auto"/>
        <w:bottom w:val="none" w:sz="0" w:space="0" w:color="auto"/>
        <w:right w:val="none" w:sz="0" w:space="0" w:color="auto"/>
      </w:divBdr>
      <w:divsChild>
        <w:div w:id="1938170773">
          <w:marLeft w:val="0"/>
          <w:marRight w:val="0"/>
          <w:marTop w:val="0"/>
          <w:marBottom w:val="0"/>
          <w:divBdr>
            <w:top w:val="none" w:sz="0" w:space="0" w:color="auto"/>
            <w:left w:val="none" w:sz="0" w:space="0" w:color="auto"/>
            <w:bottom w:val="none" w:sz="0" w:space="0" w:color="auto"/>
            <w:right w:val="none" w:sz="0" w:space="0" w:color="auto"/>
          </w:divBdr>
        </w:div>
        <w:div w:id="490099752">
          <w:marLeft w:val="0"/>
          <w:marRight w:val="0"/>
          <w:marTop w:val="0"/>
          <w:marBottom w:val="0"/>
          <w:divBdr>
            <w:top w:val="none" w:sz="0" w:space="0" w:color="auto"/>
            <w:left w:val="none" w:sz="0" w:space="0" w:color="auto"/>
            <w:bottom w:val="none" w:sz="0" w:space="0" w:color="auto"/>
            <w:right w:val="none" w:sz="0" w:space="0" w:color="auto"/>
          </w:divBdr>
        </w:div>
      </w:divsChild>
    </w:div>
    <w:div w:id="1119640216">
      <w:bodyDiv w:val="1"/>
      <w:marLeft w:val="0"/>
      <w:marRight w:val="0"/>
      <w:marTop w:val="0"/>
      <w:marBottom w:val="0"/>
      <w:divBdr>
        <w:top w:val="none" w:sz="0" w:space="0" w:color="auto"/>
        <w:left w:val="none" w:sz="0" w:space="0" w:color="auto"/>
        <w:bottom w:val="none" w:sz="0" w:space="0" w:color="auto"/>
        <w:right w:val="none" w:sz="0" w:space="0" w:color="auto"/>
      </w:divBdr>
    </w:div>
    <w:div w:id="189084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austlii.edu.au/au/legis/cth/consol_act/ca2001172/s1276.html" TargetMode="External"/><Relationship Id="rId18" Type="http://schemas.openxmlformats.org/officeDocument/2006/relationships/hyperlink" Target="http://www.austlii.edu.au/au/legis/cth/consol_act/ca2001172/s294.html" TargetMode="External"/><Relationship Id="rId26" Type="http://schemas.openxmlformats.org/officeDocument/2006/relationships/hyperlink" Target="http://www.austlii.edu.au/au/legis/cth/consol_act/ca2001172/s9.html" TargetMode="External"/><Relationship Id="rId3" Type="http://schemas.microsoft.com/office/2007/relationships/stylesWithEffects" Target="stylesWithEffects.xml"/><Relationship Id="rId21" Type="http://schemas.openxmlformats.org/officeDocument/2006/relationships/hyperlink" Target="http://www.austlii.edu.au/au/legis/cth/consol_act/ca2001172/s9.htm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ustlii.edu.au/au/legis/cth/consol_act/ca2001172/s9.html" TargetMode="External"/><Relationship Id="rId17" Type="http://schemas.openxmlformats.org/officeDocument/2006/relationships/hyperlink" Target="http://www.austlii.edu.au/au/legis/cth/consol_act/ca2001172/s293.html" TargetMode="External"/><Relationship Id="rId25" Type="http://schemas.openxmlformats.org/officeDocument/2006/relationships/hyperlink" Target="http://www.austlii.edu.au/au/legis/cth/consol_act/ca2001172/s1276.htm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austlii.edu.au/au/legis/cth/consol_act/ca2001172/s9.html" TargetMode="External"/><Relationship Id="rId20" Type="http://schemas.openxmlformats.org/officeDocument/2006/relationships/hyperlink" Target="http://www.austlii.edu.au/au/legis/cth/consol_act/ca2001172/s9.html" TargetMode="External"/><Relationship Id="rId29" Type="http://schemas.openxmlformats.org/officeDocument/2006/relationships/hyperlink" Target="http://www.austlii.edu.au/au/legis/cth/consol_act/ca2001172/s1276.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lii.edu.au/au/legis/cth/consol_act/ca2001172/s9.html" TargetMode="External"/><Relationship Id="rId24" Type="http://schemas.openxmlformats.org/officeDocument/2006/relationships/hyperlink" Target="http://www.austlii.edu.au/au/legis/cth/consol_act/ca2001172/s9.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ustlii.edu.au/au/legis/cth/consol_act/ca2001172/s9.html" TargetMode="External"/><Relationship Id="rId23" Type="http://schemas.openxmlformats.org/officeDocument/2006/relationships/hyperlink" Target="http://www.austlii.edu.au/au/legis/cth/consol_act/ca2001172/s9.html" TargetMode="External"/><Relationship Id="rId28" Type="http://schemas.openxmlformats.org/officeDocument/2006/relationships/hyperlink" Target="http://www.austlii.edu.au/au/legis/cth/consol_act/ca2001172/s9.html" TargetMode="External"/><Relationship Id="rId36" Type="http://schemas.openxmlformats.org/officeDocument/2006/relationships/fontTable" Target="fontTable.xml"/><Relationship Id="rId10" Type="http://schemas.openxmlformats.org/officeDocument/2006/relationships/hyperlink" Target="http://www.austlii.edu.au/au/legis/cth/consol_act/ca2001172/s9.html" TargetMode="External"/><Relationship Id="rId19" Type="http://schemas.openxmlformats.org/officeDocument/2006/relationships/hyperlink" Target="http://www.austlii.edu.au/au/legis/cth/consol_act/ca2001172/s9.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ustlii.edu.au/au/legis/cth/consol_act/ca2001172/s9.html" TargetMode="External"/><Relationship Id="rId22" Type="http://schemas.openxmlformats.org/officeDocument/2006/relationships/hyperlink" Target="http://www.austlii.edu.au/au/legis/cth/consol_act/ca2001172/s9.html" TargetMode="External"/><Relationship Id="rId27" Type="http://schemas.openxmlformats.org/officeDocument/2006/relationships/hyperlink" Target="http://www.austlii.edu.au/au/legis/cth/consol_act/ca2001172/s9.html" TargetMode="External"/><Relationship Id="rId30" Type="http://schemas.openxmlformats.org/officeDocument/2006/relationships/hyperlink" Target="http://www.austlii.edu.au/au/legis/cth/consol_act/ca2001172/s9.html" TargetMode="Externa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18</Pages>
  <Words>8852</Words>
  <Characters>50463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Question 1</vt:lpstr>
    </vt:vector>
  </TitlesOfParts>
  <Company>Deakin University</Company>
  <LinksUpToDate>false</LinksUpToDate>
  <CharactersWithSpaces>59197</CharactersWithSpaces>
  <SharedDoc>false</SharedDoc>
  <HLinks>
    <vt:vector size="126" baseType="variant">
      <vt:variant>
        <vt:i4>6225935</vt:i4>
      </vt:variant>
      <vt:variant>
        <vt:i4>63</vt:i4>
      </vt:variant>
      <vt:variant>
        <vt:i4>0</vt:i4>
      </vt:variant>
      <vt:variant>
        <vt:i4>5</vt:i4>
      </vt:variant>
      <vt:variant>
        <vt:lpwstr>http://www.austlii.edu.au/au/legis/cth/consol_act/ca2001172/s9.html</vt:lpwstr>
      </vt:variant>
      <vt:variant>
        <vt:lpwstr>disclosing_entity</vt:lpwstr>
      </vt:variant>
      <vt:variant>
        <vt:i4>3342348</vt:i4>
      </vt:variant>
      <vt:variant>
        <vt:i4>60</vt:i4>
      </vt:variant>
      <vt:variant>
        <vt:i4>0</vt:i4>
      </vt:variant>
      <vt:variant>
        <vt:i4>5</vt:i4>
      </vt:variant>
      <vt:variant>
        <vt:lpwstr>http://www.austlii.edu.au/au/legis/cth/consol_act/ca2001172/s1276.html</vt:lpwstr>
      </vt:variant>
      <vt:variant>
        <vt:lpwstr>registered</vt:lpwstr>
      </vt:variant>
      <vt:variant>
        <vt:i4>2097246</vt:i4>
      </vt:variant>
      <vt:variant>
        <vt:i4>57</vt:i4>
      </vt:variant>
      <vt:variant>
        <vt:i4>0</vt:i4>
      </vt:variant>
      <vt:variant>
        <vt:i4>5</vt:i4>
      </vt:variant>
      <vt:variant>
        <vt:lpwstr>http://www.austlii.edu.au/au/legis/cth/consol_act/ca2001172/s9.html</vt:lpwstr>
      </vt:variant>
      <vt:variant>
        <vt:lpwstr>company</vt:lpwstr>
      </vt:variant>
      <vt:variant>
        <vt:i4>1179725</vt:i4>
      </vt:variant>
      <vt:variant>
        <vt:i4>54</vt:i4>
      </vt:variant>
      <vt:variant>
        <vt:i4>0</vt:i4>
      </vt:variant>
      <vt:variant>
        <vt:i4>5</vt:i4>
      </vt:variant>
      <vt:variant>
        <vt:lpwstr>http://www.austlii.edu.au/au/legis/cth/consol_act/ca2001172/s9.html</vt:lpwstr>
      </vt:variant>
      <vt:variant>
        <vt:lpwstr>foreign_company</vt:lpwstr>
      </vt:variant>
      <vt:variant>
        <vt:i4>1179725</vt:i4>
      </vt:variant>
      <vt:variant>
        <vt:i4>51</vt:i4>
      </vt:variant>
      <vt:variant>
        <vt:i4>0</vt:i4>
      </vt:variant>
      <vt:variant>
        <vt:i4>5</vt:i4>
      </vt:variant>
      <vt:variant>
        <vt:lpwstr>http://www.austlii.edu.au/au/legis/cth/consol_act/ca2001172/s9.html</vt:lpwstr>
      </vt:variant>
      <vt:variant>
        <vt:lpwstr>foreign_company</vt:lpwstr>
      </vt:variant>
      <vt:variant>
        <vt:i4>3342348</vt:i4>
      </vt:variant>
      <vt:variant>
        <vt:i4>48</vt:i4>
      </vt:variant>
      <vt:variant>
        <vt:i4>0</vt:i4>
      </vt:variant>
      <vt:variant>
        <vt:i4>5</vt:i4>
      </vt:variant>
      <vt:variant>
        <vt:lpwstr>http://www.austlii.edu.au/au/legis/cth/consol_act/ca2001172/s1276.html</vt:lpwstr>
      </vt:variant>
      <vt:variant>
        <vt:lpwstr>registered</vt:lpwstr>
      </vt:variant>
      <vt:variant>
        <vt:i4>4259897</vt:i4>
      </vt:variant>
      <vt:variant>
        <vt:i4>45</vt:i4>
      </vt:variant>
      <vt:variant>
        <vt:i4>0</vt:i4>
      </vt:variant>
      <vt:variant>
        <vt:i4>5</vt:i4>
      </vt:variant>
      <vt:variant>
        <vt:lpwstr>http://www.austlii.edu.au/au/legis/cth/consol_act/ca2001172/s9.html</vt:lpwstr>
      </vt:variant>
      <vt:variant>
        <vt:lpwstr>asic</vt:lpwstr>
      </vt:variant>
      <vt:variant>
        <vt:i4>5832761</vt:i4>
      </vt:variant>
      <vt:variant>
        <vt:i4>42</vt:i4>
      </vt:variant>
      <vt:variant>
        <vt:i4>0</vt:i4>
      </vt:variant>
      <vt:variant>
        <vt:i4>5</vt:i4>
      </vt:variant>
      <vt:variant>
        <vt:lpwstr>http://www.austlii.edu.au/au/legis/cth/consol_act/ca2001172/s9.html</vt:lpwstr>
      </vt:variant>
      <vt:variant>
        <vt:lpwstr>lodge</vt:lpwstr>
      </vt:variant>
      <vt:variant>
        <vt:i4>7602228</vt:i4>
      </vt:variant>
      <vt:variant>
        <vt:i4>39</vt:i4>
      </vt:variant>
      <vt:variant>
        <vt:i4>0</vt:i4>
      </vt:variant>
      <vt:variant>
        <vt:i4>5</vt:i4>
      </vt:variant>
      <vt:variant>
        <vt:lpwstr>http://www.austlii.edu.au/au/legis/cth/consol_act/ca2001172/s9.html</vt:lpwstr>
      </vt:variant>
      <vt:variant>
        <vt:lpwstr>financial_statements</vt:lpwstr>
      </vt:variant>
      <vt:variant>
        <vt:i4>1179725</vt:i4>
      </vt:variant>
      <vt:variant>
        <vt:i4>36</vt:i4>
      </vt:variant>
      <vt:variant>
        <vt:i4>0</vt:i4>
      </vt:variant>
      <vt:variant>
        <vt:i4>5</vt:i4>
      </vt:variant>
      <vt:variant>
        <vt:lpwstr>http://www.austlii.edu.au/au/legis/cth/consol_act/ca2001172/s9.html</vt:lpwstr>
      </vt:variant>
      <vt:variant>
        <vt:lpwstr>foreign_company</vt:lpwstr>
      </vt:variant>
      <vt:variant>
        <vt:i4>1179725</vt:i4>
      </vt:variant>
      <vt:variant>
        <vt:i4>33</vt:i4>
      </vt:variant>
      <vt:variant>
        <vt:i4>0</vt:i4>
      </vt:variant>
      <vt:variant>
        <vt:i4>5</vt:i4>
      </vt:variant>
      <vt:variant>
        <vt:lpwstr>http://www.austlii.edu.au/au/legis/cth/consol_act/ca2001172/s9.html</vt:lpwstr>
      </vt:variant>
      <vt:variant>
        <vt:lpwstr>foreign_company</vt:lpwstr>
      </vt:variant>
      <vt:variant>
        <vt:i4>2424910</vt:i4>
      </vt:variant>
      <vt:variant>
        <vt:i4>30</vt:i4>
      </vt:variant>
      <vt:variant>
        <vt:i4>0</vt:i4>
      </vt:variant>
      <vt:variant>
        <vt:i4>5</vt:i4>
      </vt:variant>
      <vt:variant>
        <vt:lpwstr>http://www.austlii.edu.au/au/legis/cth/consol_act/ca2001172/s9.html</vt:lpwstr>
      </vt:variant>
      <vt:variant>
        <vt:lpwstr>control</vt:lpwstr>
      </vt:variant>
      <vt:variant>
        <vt:i4>7208968</vt:i4>
      </vt:variant>
      <vt:variant>
        <vt:i4>27</vt:i4>
      </vt:variant>
      <vt:variant>
        <vt:i4>0</vt:i4>
      </vt:variant>
      <vt:variant>
        <vt:i4>5</vt:i4>
      </vt:variant>
      <vt:variant>
        <vt:lpwstr>http://www.austlii.edu.au/au/legis/cth/consol_act/ca2001172/s294.html</vt:lpwstr>
      </vt:variant>
      <vt:variant>
        <vt:lpwstr/>
      </vt:variant>
      <vt:variant>
        <vt:i4>6881288</vt:i4>
      </vt:variant>
      <vt:variant>
        <vt:i4>24</vt:i4>
      </vt:variant>
      <vt:variant>
        <vt:i4>0</vt:i4>
      </vt:variant>
      <vt:variant>
        <vt:i4>5</vt:i4>
      </vt:variant>
      <vt:variant>
        <vt:lpwstr>http://www.austlii.edu.au/au/legis/cth/consol_act/ca2001172/s293.html</vt:lpwstr>
      </vt:variant>
      <vt:variant>
        <vt:lpwstr/>
      </vt:variant>
      <vt:variant>
        <vt:i4>5963819</vt:i4>
      </vt:variant>
      <vt:variant>
        <vt:i4>21</vt:i4>
      </vt:variant>
      <vt:variant>
        <vt:i4>0</vt:i4>
      </vt:variant>
      <vt:variant>
        <vt:i4>5</vt:i4>
      </vt:variant>
      <vt:variant>
        <vt:lpwstr>http://www.austlii.edu.au/au/legis/cth/consol_act/ca2001172/s9.html</vt:lpwstr>
      </vt:variant>
      <vt:variant>
        <vt:lpwstr>director</vt:lpwstr>
      </vt:variant>
      <vt:variant>
        <vt:i4>7995426</vt:i4>
      </vt:variant>
      <vt:variant>
        <vt:i4>18</vt:i4>
      </vt:variant>
      <vt:variant>
        <vt:i4>0</vt:i4>
      </vt:variant>
      <vt:variant>
        <vt:i4>5</vt:i4>
      </vt:variant>
      <vt:variant>
        <vt:lpwstr>http://www.austlii.edu.au/au/legis/cth/consol_act/ca2001172/s9.html</vt:lpwstr>
      </vt:variant>
      <vt:variant>
        <vt:lpwstr>financial_report</vt:lpwstr>
      </vt:variant>
      <vt:variant>
        <vt:i4>2097246</vt:i4>
      </vt:variant>
      <vt:variant>
        <vt:i4>15</vt:i4>
      </vt:variant>
      <vt:variant>
        <vt:i4>0</vt:i4>
      </vt:variant>
      <vt:variant>
        <vt:i4>5</vt:i4>
      </vt:variant>
      <vt:variant>
        <vt:lpwstr>http://www.austlii.edu.au/au/legis/cth/consol_act/ca2001172/s9.html</vt:lpwstr>
      </vt:variant>
      <vt:variant>
        <vt:lpwstr>company</vt:lpwstr>
      </vt:variant>
      <vt:variant>
        <vt:i4>3342348</vt:i4>
      </vt:variant>
      <vt:variant>
        <vt:i4>12</vt:i4>
      </vt:variant>
      <vt:variant>
        <vt:i4>0</vt:i4>
      </vt:variant>
      <vt:variant>
        <vt:i4>5</vt:i4>
      </vt:variant>
      <vt:variant>
        <vt:lpwstr>http://www.austlii.edu.au/au/legis/cth/consol_act/ca2001172/s1276.html</vt:lpwstr>
      </vt:variant>
      <vt:variant>
        <vt:lpwstr>registered</vt:lpwstr>
      </vt:variant>
      <vt:variant>
        <vt:i4>1245258</vt:i4>
      </vt:variant>
      <vt:variant>
        <vt:i4>9</vt:i4>
      </vt:variant>
      <vt:variant>
        <vt:i4>0</vt:i4>
      </vt:variant>
      <vt:variant>
        <vt:i4>5</vt:i4>
      </vt:variant>
      <vt:variant>
        <vt:lpwstr>http://www.austlii.edu.au/au/legis/cth/consol_act/ca2001172/s9.html</vt:lpwstr>
      </vt:variant>
      <vt:variant>
        <vt:lpwstr>financial_year</vt:lpwstr>
      </vt:variant>
      <vt:variant>
        <vt:i4>5963819</vt:i4>
      </vt:variant>
      <vt:variant>
        <vt:i4>6</vt:i4>
      </vt:variant>
      <vt:variant>
        <vt:i4>0</vt:i4>
      </vt:variant>
      <vt:variant>
        <vt:i4>5</vt:i4>
      </vt:variant>
      <vt:variant>
        <vt:lpwstr>http://www.austlii.edu.au/au/legis/cth/consol_act/ca2001172/s9.html</vt:lpwstr>
      </vt:variant>
      <vt:variant>
        <vt:lpwstr>director</vt:lpwstr>
      </vt:variant>
      <vt:variant>
        <vt:i4>7995426</vt:i4>
      </vt:variant>
      <vt:variant>
        <vt:i4>3</vt:i4>
      </vt:variant>
      <vt:variant>
        <vt:i4>0</vt:i4>
      </vt:variant>
      <vt:variant>
        <vt:i4>5</vt:i4>
      </vt:variant>
      <vt:variant>
        <vt:lpwstr>http://www.austlii.edu.au/au/legis/cth/consol_act/ca2001172/s9.html</vt:lpwstr>
      </vt:variant>
      <vt:variant>
        <vt:lpwstr>financial_report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subject/>
  <dc:creator>robertg</dc:creator>
  <cp:keywords/>
  <cp:lastModifiedBy>Bernadette Chang</cp:lastModifiedBy>
  <cp:revision>12</cp:revision>
  <cp:lastPrinted>2011-12-23T03:40:00Z</cp:lastPrinted>
  <dcterms:created xsi:type="dcterms:W3CDTF">2016-11-01T09:28:00Z</dcterms:created>
  <dcterms:modified xsi:type="dcterms:W3CDTF">2016-11-16T22:50:00Z</dcterms:modified>
</cp:coreProperties>
</file>